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1337"/>
        <w:gridCol w:w="2482"/>
        <w:gridCol w:w="5889"/>
        <w:gridCol w:w="3633"/>
        <w:gridCol w:w="1477"/>
      </w:tblGrid>
      <w:tr w:rsidR="00A06425" w:rsidRPr="003221DE" w14:paraId="7A3D2DD0" w14:textId="77777777" w:rsidTr="00011BCA">
        <w:trPr>
          <w:trHeight w:val="564"/>
        </w:trPr>
        <w:tc>
          <w:tcPr>
            <w:tcW w:w="5000" w:type="pct"/>
            <w:gridSpan w:val="6"/>
            <w:shd w:val="clear" w:color="auto" w:fill="auto"/>
            <w:vAlign w:val="center"/>
          </w:tcPr>
          <w:p w14:paraId="0DEDE37F" w14:textId="41C0D5BC" w:rsidR="00A06425" w:rsidRPr="003221DE" w:rsidRDefault="00A06425" w:rsidP="009B0DB8">
            <w:pPr>
              <w:spacing w:before="120" w:after="120"/>
              <w:rPr>
                <w:b/>
                <w:i/>
              </w:rPr>
            </w:pPr>
            <w:r w:rsidRPr="003221DE">
              <w:rPr>
                <w:b/>
                <w:i/>
              </w:rPr>
              <w:t>Nazwa dokumentu:</w:t>
            </w:r>
            <w:r w:rsidR="008A3907" w:rsidRPr="003221DE">
              <w:t xml:space="preserve"> </w:t>
            </w:r>
            <w:r w:rsidR="008A3907" w:rsidRPr="003221DE">
              <w:rPr>
                <w:b/>
                <w:i/>
              </w:rPr>
              <w:t>Rejestry publiczne – dobre praktyki architektoniczne i legislacyjne</w:t>
            </w:r>
          </w:p>
        </w:tc>
      </w:tr>
      <w:tr w:rsidR="00D90E96" w:rsidRPr="003221DE" w14:paraId="03F51206" w14:textId="77777777" w:rsidTr="00011BCA">
        <w:tc>
          <w:tcPr>
            <w:tcW w:w="158" w:type="pct"/>
            <w:shd w:val="clear" w:color="auto" w:fill="auto"/>
            <w:vAlign w:val="center"/>
          </w:tcPr>
          <w:p w14:paraId="18138AFD" w14:textId="77777777" w:rsidR="00A06425" w:rsidRPr="003221DE" w:rsidRDefault="00A06425" w:rsidP="004D086F">
            <w:pPr>
              <w:jc w:val="center"/>
              <w:rPr>
                <w:b/>
              </w:rPr>
            </w:pPr>
            <w:r w:rsidRPr="003221DE">
              <w:rPr>
                <w:b/>
              </w:rPr>
              <w:t>Lp.</w:t>
            </w:r>
          </w:p>
        </w:tc>
        <w:tc>
          <w:tcPr>
            <w:tcW w:w="440" w:type="pct"/>
            <w:shd w:val="clear" w:color="auto" w:fill="auto"/>
            <w:vAlign w:val="center"/>
          </w:tcPr>
          <w:p w14:paraId="40C7BA4B" w14:textId="77777777" w:rsidR="00A06425" w:rsidRPr="003221DE" w:rsidRDefault="00A06425" w:rsidP="004D086F">
            <w:pPr>
              <w:jc w:val="center"/>
              <w:rPr>
                <w:b/>
              </w:rPr>
            </w:pPr>
            <w:r w:rsidRPr="003221DE">
              <w:rPr>
                <w:b/>
              </w:rPr>
              <w:t>Organ wnoszący uwagi</w:t>
            </w:r>
          </w:p>
        </w:tc>
        <w:tc>
          <w:tcPr>
            <w:tcW w:w="812" w:type="pct"/>
            <w:shd w:val="clear" w:color="auto" w:fill="auto"/>
            <w:vAlign w:val="center"/>
          </w:tcPr>
          <w:p w14:paraId="4942936E" w14:textId="77777777" w:rsidR="00A06425" w:rsidRPr="003221DE" w:rsidRDefault="00A06425" w:rsidP="004D086F">
            <w:pPr>
              <w:jc w:val="center"/>
              <w:rPr>
                <w:b/>
              </w:rPr>
            </w:pPr>
            <w:r w:rsidRPr="003221DE">
              <w:rPr>
                <w:b/>
              </w:rPr>
              <w:t>Jednostka redakcyjna, do której wnoszone są uwagi</w:t>
            </w:r>
          </w:p>
        </w:tc>
        <w:tc>
          <w:tcPr>
            <w:tcW w:w="1919" w:type="pct"/>
            <w:shd w:val="clear" w:color="auto" w:fill="auto"/>
            <w:vAlign w:val="center"/>
          </w:tcPr>
          <w:p w14:paraId="1A1EC80B" w14:textId="77777777" w:rsidR="00A06425" w:rsidRPr="003221DE" w:rsidRDefault="00A06425" w:rsidP="004D086F">
            <w:pPr>
              <w:jc w:val="center"/>
              <w:rPr>
                <w:b/>
              </w:rPr>
            </w:pPr>
            <w:r w:rsidRPr="003221DE">
              <w:rPr>
                <w:b/>
              </w:rPr>
              <w:t>Treść uwagi</w:t>
            </w:r>
          </w:p>
        </w:tc>
        <w:tc>
          <w:tcPr>
            <w:tcW w:w="1186" w:type="pct"/>
            <w:shd w:val="clear" w:color="auto" w:fill="auto"/>
            <w:vAlign w:val="center"/>
          </w:tcPr>
          <w:p w14:paraId="29ED02BF" w14:textId="77777777" w:rsidR="00A06425" w:rsidRPr="003221DE" w:rsidRDefault="00A06425" w:rsidP="004D086F">
            <w:pPr>
              <w:jc w:val="center"/>
              <w:rPr>
                <w:b/>
              </w:rPr>
            </w:pPr>
            <w:r w:rsidRPr="003221DE">
              <w:rPr>
                <w:b/>
              </w:rPr>
              <w:t>Propozycja zmian zapisu</w:t>
            </w:r>
          </w:p>
        </w:tc>
        <w:tc>
          <w:tcPr>
            <w:tcW w:w="484" w:type="pct"/>
            <w:vAlign w:val="center"/>
          </w:tcPr>
          <w:p w14:paraId="048F2E6F" w14:textId="77777777" w:rsidR="00A06425" w:rsidRPr="003221DE" w:rsidRDefault="00A06425" w:rsidP="00A06425">
            <w:pPr>
              <w:jc w:val="center"/>
              <w:rPr>
                <w:b/>
              </w:rPr>
            </w:pPr>
            <w:r w:rsidRPr="003221DE">
              <w:rPr>
                <w:b/>
              </w:rPr>
              <w:t>Odniesienie do uwagi</w:t>
            </w:r>
          </w:p>
        </w:tc>
      </w:tr>
      <w:tr w:rsidR="00D90E96" w:rsidRPr="003221DE" w14:paraId="5D4378D7" w14:textId="77777777" w:rsidTr="00011BCA">
        <w:trPr>
          <w:trHeight w:val="211"/>
        </w:trPr>
        <w:tc>
          <w:tcPr>
            <w:tcW w:w="158" w:type="pct"/>
            <w:shd w:val="clear" w:color="auto" w:fill="auto"/>
          </w:tcPr>
          <w:p w14:paraId="6BC11E68" w14:textId="77777777" w:rsidR="00A06425" w:rsidRPr="003221DE" w:rsidRDefault="00A06425" w:rsidP="00A06425">
            <w:pPr>
              <w:spacing w:before="120" w:after="120"/>
              <w:jc w:val="center"/>
              <w:rPr>
                <w:b/>
              </w:rPr>
            </w:pPr>
            <w:r w:rsidRPr="003221DE">
              <w:rPr>
                <w:b/>
              </w:rPr>
              <w:t>1</w:t>
            </w:r>
          </w:p>
        </w:tc>
        <w:tc>
          <w:tcPr>
            <w:tcW w:w="440" w:type="pct"/>
            <w:shd w:val="clear" w:color="auto" w:fill="auto"/>
          </w:tcPr>
          <w:p w14:paraId="6AB87EC1" w14:textId="1ED16586" w:rsidR="00A06425" w:rsidRPr="003221DE" w:rsidRDefault="008A3907" w:rsidP="004D086F">
            <w:pPr>
              <w:spacing w:before="60" w:after="60"/>
              <w:jc w:val="center"/>
              <w:rPr>
                <w:b/>
              </w:rPr>
            </w:pPr>
            <w:r w:rsidRPr="003221DE">
              <w:rPr>
                <w:b/>
              </w:rPr>
              <w:t>RCL</w:t>
            </w:r>
          </w:p>
        </w:tc>
        <w:tc>
          <w:tcPr>
            <w:tcW w:w="812" w:type="pct"/>
            <w:shd w:val="clear" w:color="auto" w:fill="auto"/>
          </w:tcPr>
          <w:p w14:paraId="42E39F6F" w14:textId="6999EC3C" w:rsidR="00A06425" w:rsidRPr="003221DE" w:rsidRDefault="006124B6" w:rsidP="004D086F">
            <w:pPr>
              <w:jc w:val="center"/>
            </w:pPr>
            <w:r w:rsidRPr="003221DE">
              <w:t>Uwaga ogólna</w:t>
            </w:r>
          </w:p>
        </w:tc>
        <w:tc>
          <w:tcPr>
            <w:tcW w:w="1919" w:type="pct"/>
            <w:shd w:val="clear" w:color="auto" w:fill="auto"/>
          </w:tcPr>
          <w:p w14:paraId="5E5A0B40" w14:textId="3943B442" w:rsidR="00C86501" w:rsidRDefault="004E2F47" w:rsidP="00EF5756">
            <w:pPr>
              <w:jc w:val="both"/>
            </w:pPr>
            <w:r w:rsidRPr="003221DE">
              <w:t xml:space="preserve">Nie kwestionując potrzeby wydania rekomendacji, </w:t>
            </w:r>
            <w:r w:rsidR="00B909EF" w:rsidRPr="003221DE">
              <w:t xml:space="preserve">jest </w:t>
            </w:r>
            <w:r w:rsidR="00C44BBE" w:rsidRPr="003221DE">
              <w:t xml:space="preserve">konieczne </w:t>
            </w:r>
            <w:r w:rsidR="00784429" w:rsidRPr="003221DE">
              <w:t>wskazanie</w:t>
            </w:r>
            <w:r w:rsidR="00C44BBE" w:rsidRPr="003221DE">
              <w:t xml:space="preserve"> normy kompetencyjnej</w:t>
            </w:r>
            <w:r w:rsidR="00FB648C" w:rsidRPr="003221DE">
              <w:t>, z</w:t>
            </w:r>
            <w:r w:rsidR="00AC5F0F" w:rsidRPr="003221DE">
              <w:t>a</w:t>
            </w:r>
            <w:r w:rsidR="00FB648C" w:rsidRPr="003221DE">
              <w:t>dania</w:t>
            </w:r>
            <w:r w:rsidR="00C44BBE" w:rsidRPr="003221DE">
              <w:t xml:space="preserve"> lub podstawy </w:t>
            </w:r>
            <w:r w:rsidR="005A26FC" w:rsidRPr="003221DE">
              <w:t>prawnej,</w:t>
            </w:r>
            <w:r w:rsidR="00C44BBE" w:rsidRPr="003221DE">
              <w:t xml:space="preserve"> któr</w:t>
            </w:r>
            <w:r w:rsidR="005A26FC" w:rsidRPr="003221DE">
              <w:t>e</w:t>
            </w:r>
            <w:r w:rsidR="001C22A2" w:rsidRPr="003221DE">
              <w:t xml:space="preserve"> </w:t>
            </w:r>
            <w:r w:rsidR="00E640FF" w:rsidRPr="003221DE">
              <w:t>upoważniałyby,</w:t>
            </w:r>
            <w:r w:rsidR="001C22A2" w:rsidRPr="003221DE">
              <w:t xml:space="preserve"> czy zobowiąz</w:t>
            </w:r>
            <w:r w:rsidR="005A26FC" w:rsidRPr="003221DE">
              <w:t>ywały</w:t>
            </w:r>
            <w:r w:rsidR="001C22A2" w:rsidRPr="003221DE">
              <w:t xml:space="preserve"> </w:t>
            </w:r>
            <w:r w:rsidR="00C86501" w:rsidRPr="003221DE">
              <w:t xml:space="preserve">do </w:t>
            </w:r>
            <w:r w:rsidR="00E640FF" w:rsidRPr="003221DE">
              <w:t xml:space="preserve">przygotowania, przedłożenia </w:t>
            </w:r>
            <w:r w:rsidR="00EF5756" w:rsidRPr="003221DE">
              <w:t>rekomendacji celem ich</w:t>
            </w:r>
            <w:r w:rsidR="00E640FF" w:rsidRPr="003221DE">
              <w:t xml:space="preserve"> przyjęcia </w:t>
            </w:r>
            <w:r w:rsidR="00EF5756" w:rsidRPr="003221DE">
              <w:t>i stosowania</w:t>
            </w:r>
            <w:r w:rsidR="000824C5" w:rsidRPr="003221DE">
              <w:t xml:space="preserve">. </w:t>
            </w:r>
          </w:p>
          <w:p w14:paraId="75671D04" w14:textId="77777777" w:rsidR="000C1529" w:rsidRPr="00833483" w:rsidRDefault="000C1529" w:rsidP="00EF5756">
            <w:pPr>
              <w:jc w:val="both"/>
            </w:pPr>
          </w:p>
          <w:p w14:paraId="3635223F" w14:textId="34DE7B2B" w:rsidR="00335EC6" w:rsidRPr="00833483" w:rsidRDefault="00C86501" w:rsidP="00EF5756">
            <w:pPr>
              <w:jc w:val="both"/>
            </w:pPr>
            <w:r w:rsidRPr="00833483">
              <w:t xml:space="preserve">Treść pisma </w:t>
            </w:r>
            <w:r w:rsidR="005B69DA" w:rsidRPr="00833483">
              <w:t xml:space="preserve">przewodniego </w:t>
            </w:r>
            <w:r w:rsidRPr="00833483">
              <w:t xml:space="preserve">wskazuje, </w:t>
            </w:r>
            <w:r w:rsidR="005B69DA" w:rsidRPr="00833483">
              <w:t>ż</w:t>
            </w:r>
            <w:r w:rsidRPr="00833483">
              <w:t>e jest to dokument</w:t>
            </w:r>
            <w:r w:rsidR="005B69DA" w:rsidRPr="00833483">
              <w:t>, który przedkład</w:t>
            </w:r>
            <w:bookmarkStart w:id="0" w:name="_GoBack"/>
            <w:bookmarkEnd w:id="0"/>
            <w:r w:rsidR="005B69DA" w:rsidRPr="00833483">
              <w:t xml:space="preserve">a do rozpatrzenia </w:t>
            </w:r>
            <w:r w:rsidR="007807A4" w:rsidRPr="00833483">
              <w:t xml:space="preserve">przez </w:t>
            </w:r>
            <w:r w:rsidR="005B69DA" w:rsidRPr="00833483">
              <w:t>KRMC Minister Cyfryzacji</w:t>
            </w:r>
            <w:r w:rsidR="00335EC6" w:rsidRPr="00833483">
              <w:t>.</w:t>
            </w:r>
            <w:r w:rsidR="005B69DA" w:rsidRPr="00833483">
              <w:t xml:space="preserve"> </w:t>
            </w:r>
            <w:r w:rsidR="00335EC6" w:rsidRPr="00833483">
              <w:t>Zgodnie z § 2 ust. 1 pkt 1</w:t>
            </w:r>
            <w:r w:rsidR="005449E8" w:rsidRPr="00833483">
              <w:t xml:space="preserve">-3 </w:t>
            </w:r>
            <w:r w:rsidR="00C171A6" w:rsidRPr="00833483">
              <w:t>zarządzenia nr 48 Prezesa Rady Ministrów z dnia 12 kwietnia 2016 r. w</w:t>
            </w:r>
            <w:r w:rsidR="005449E8" w:rsidRPr="00833483">
              <w:t> </w:t>
            </w:r>
            <w:r w:rsidR="00C171A6" w:rsidRPr="00833483">
              <w:t>sprawie Komitetu Rady Ministrów do spraw Cyfryzacji (M. P. z 2021 r. poz. 231)</w:t>
            </w:r>
            <w:r w:rsidR="00DF14E4" w:rsidRPr="00833483">
              <w:t xml:space="preserve"> do zadań tego organu pomocniczego należy: „</w:t>
            </w:r>
            <w:r w:rsidR="00DF14E4" w:rsidRPr="00833483">
              <w:rPr>
                <w:i/>
                <w:iCs/>
              </w:rPr>
              <w:t>rozpatrywanie projektów dokumentów rządowych związanych z informatyzacją</w:t>
            </w:r>
            <w:r w:rsidR="00045BE2" w:rsidRPr="00833483">
              <w:rPr>
                <w:i/>
                <w:iCs/>
              </w:rPr>
              <w:t>”</w:t>
            </w:r>
            <w:r w:rsidR="0065686A" w:rsidRPr="00833483">
              <w:rPr>
                <w:i/>
                <w:iCs/>
              </w:rPr>
              <w:t>,</w:t>
            </w:r>
            <w:r w:rsidR="00045BE2" w:rsidRPr="00833483">
              <w:t xml:space="preserve"> „</w:t>
            </w:r>
            <w:r w:rsidR="00045BE2" w:rsidRPr="00833483">
              <w:rPr>
                <w:i/>
                <w:iCs/>
              </w:rPr>
              <w:t>opiniowanie projektów informatycznych</w:t>
            </w:r>
            <w:r w:rsidR="00045BE2" w:rsidRPr="00833483">
              <w:t xml:space="preserve"> (…)</w:t>
            </w:r>
            <w:r w:rsidR="0065686A" w:rsidRPr="00833483">
              <w:t xml:space="preserve"> oraz „</w:t>
            </w:r>
            <w:r w:rsidR="0065686A" w:rsidRPr="00833483">
              <w:rPr>
                <w:i/>
                <w:iCs/>
              </w:rPr>
              <w:t xml:space="preserve">monitorowanie postępów w realizacji projektów informatycznych”. </w:t>
            </w:r>
            <w:r w:rsidR="00DC49A3" w:rsidRPr="00833483">
              <w:t>Rekomendacje</w:t>
            </w:r>
            <w:r w:rsidR="00833483" w:rsidRPr="00833483">
              <w:t xml:space="preserve"> nie mogą być uznane za projekt informatyczny bowiem</w:t>
            </w:r>
            <w:r w:rsidR="00DC49A3" w:rsidRPr="00833483">
              <w:t xml:space="preserve"> zawiera treści </w:t>
            </w:r>
            <w:r w:rsidR="00833483" w:rsidRPr="00833483">
              <w:t>nie tylko</w:t>
            </w:r>
            <w:r w:rsidR="00DC49A3" w:rsidRPr="00833483">
              <w:t xml:space="preserve"> dotyczące architektury rejestrów,</w:t>
            </w:r>
            <w:r w:rsidR="00EB4992" w:rsidRPr="00833483">
              <w:t xml:space="preserve"> </w:t>
            </w:r>
            <w:r w:rsidR="00DC49A3" w:rsidRPr="00833483">
              <w:t>ale również rekomendacje legislacyjne</w:t>
            </w:r>
            <w:r w:rsidR="00833483" w:rsidRPr="00833483">
              <w:t>, a te wykraczają już</w:t>
            </w:r>
            <w:r w:rsidR="00DC49A3" w:rsidRPr="00833483">
              <w:t xml:space="preserve"> poza zakre</w:t>
            </w:r>
            <w:r w:rsidR="000C1529" w:rsidRPr="00833483">
              <w:t xml:space="preserve">s </w:t>
            </w:r>
            <w:r w:rsidR="00833483" w:rsidRPr="00833483">
              <w:t>projektu informatycznego</w:t>
            </w:r>
            <w:r w:rsidR="000C1529" w:rsidRPr="00833483">
              <w:t>.</w:t>
            </w:r>
            <w:r w:rsidR="00EB4992" w:rsidRPr="00833483">
              <w:t xml:space="preserve"> Jeżeli</w:t>
            </w:r>
            <w:r w:rsidR="00833483" w:rsidRPr="00833483">
              <w:t xml:space="preserve"> natomiast</w:t>
            </w:r>
            <w:r w:rsidR="00EB4992" w:rsidRPr="00833483">
              <w:t xml:space="preserve"> dokument ten miałby mieć charakter dokumentu rządowego</w:t>
            </w:r>
            <w:r w:rsidR="00564D94" w:rsidRPr="00833483">
              <w:t>, w rozumieniu § 19 ust. 2 Regulaminu pracy Rady Ministrów,</w:t>
            </w:r>
            <w:r w:rsidR="002F573F" w:rsidRPr="00833483">
              <w:t xml:space="preserve"> to rozpatrzenie </w:t>
            </w:r>
            <w:r w:rsidR="00564D94" w:rsidRPr="00833483">
              <w:t xml:space="preserve">go </w:t>
            </w:r>
            <w:r w:rsidR="002F573F" w:rsidRPr="00833483">
              <w:t xml:space="preserve">wyłącznie przez </w:t>
            </w:r>
            <w:r w:rsidR="009059C2" w:rsidRPr="00833483">
              <w:t>KRMC</w:t>
            </w:r>
            <w:r w:rsidR="002F573F" w:rsidRPr="00833483">
              <w:t xml:space="preserve"> jako organ pomocniczy Rady Ministrów i Prezesa Rady Ministrów nie jest wystarczające</w:t>
            </w:r>
            <w:r w:rsidR="00665610" w:rsidRPr="00833483">
              <w:t xml:space="preserve">. </w:t>
            </w:r>
          </w:p>
          <w:p w14:paraId="31683FB0" w14:textId="796452F4" w:rsidR="00E640FF" w:rsidRPr="003221DE" w:rsidRDefault="00833483" w:rsidP="00EF5756">
            <w:pPr>
              <w:jc w:val="both"/>
            </w:pPr>
            <w:r>
              <w:t xml:space="preserve">Ponadto </w:t>
            </w:r>
            <w:r w:rsidR="005B69DA" w:rsidRPr="003221DE">
              <w:t>rekomendacje nie wskazuj</w:t>
            </w:r>
            <w:r>
              <w:t xml:space="preserve">ą ich </w:t>
            </w:r>
            <w:r w:rsidR="005B69DA" w:rsidRPr="003221DE">
              <w:t>dysponenta. Informuj</w:t>
            </w:r>
            <w:r>
              <w:t>ą</w:t>
            </w:r>
            <w:r w:rsidR="005B69DA" w:rsidRPr="003221DE">
              <w:t xml:space="preserve"> jedynie, że projekt</w:t>
            </w:r>
            <w:r>
              <w:t xml:space="preserve"> rekomendacji</w:t>
            </w:r>
            <w:r w:rsidR="005B69DA" w:rsidRPr="003221DE">
              <w:t xml:space="preserve"> został przygotowany przez Zespół Architektury Informacyjnej </w:t>
            </w:r>
            <w:r w:rsidR="005B69DA" w:rsidRPr="003221DE">
              <w:lastRenderedPageBreak/>
              <w:t xml:space="preserve">Państwa, </w:t>
            </w:r>
            <w:r w:rsidR="007807A4" w:rsidRPr="003221DE">
              <w:t>nie określając</w:t>
            </w:r>
            <w:r w:rsidR="005B69DA" w:rsidRPr="003221DE">
              <w:t xml:space="preserve"> jaka jest podstawa prawna </w:t>
            </w:r>
            <w:r w:rsidR="00A25EAF" w:rsidRPr="003221DE">
              <w:t xml:space="preserve">czy zakres kompetencji tego Zespołu. </w:t>
            </w:r>
          </w:p>
        </w:tc>
        <w:tc>
          <w:tcPr>
            <w:tcW w:w="1186" w:type="pct"/>
            <w:shd w:val="clear" w:color="auto" w:fill="auto"/>
          </w:tcPr>
          <w:p w14:paraId="07601F07" w14:textId="69328EB5" w:rsidR="00A06425" w:rsidRPr="003221DE" w:rsidRDefault="00FB648C" w:rsidP="004D086F">
            <w:pPr>
              <w:jc w:val="center"/>
            </w:pPr>
            <w:r w:rsidRPr="003221DE">
              <w:lastRenderedPageBreak/>
              <w:t>Uzupełnienie pierwsze</w:t>
            </w:r>
            <w:r w:rsidR="000824C5" w:rsidRPr="003221DE">
              <w:t xml:space="preserve">j części rekomendacji, </w:t>
            </w:r>
            <w:r w:rsidR="0026594F" w:rsidRPr="003221DE">
              <w:t xml:space="preserve">o wskazanie </w:t>
            </w:r>
            <w:r w:rsidR="005A26FC" w:rsidRPr="003221DE">
              <w:t>normy kompetencyjnej, z</w:t>
            </w:r>
            <w:r w:rsidR="00AC5F0F" w:rsidRPr="003221DE">
              <w:t>a</w:t>
            </w:r>
            <w:r w:rsidR="005A26FC" w:rsidRPr="003221DE">
              <w:t>dania lub podstawy</w:t>
            </w:r>
            <w:r w:rsidR="00ED655A" w:rsidRPr="003221DE">
              <w:t>, która umożliwia wydanie takich rekomendacji</w:t>
            </w:r>
            <w:r w:rsidR="00041F89" w:rsidRPr="003221DE">
              <w:t xml:space="preserve"> oraz wskazanie </w:t>
            </w:r>
            <w:r w:rsidR="00785A0B" w:rsidRPr="003221DE">
              <w:t xml:space="preserve">dysponenta </w:t>
            </w:r>
            <w:r w:rsidR="00BB5D9C" w:rsidRPr="003221DE">
              <w:t>odpowiedzialnego</w:t>
            </w:r>
            <w:r w:rsidR="00041F89" w:rsidRPr="003221DE">
              <w:t>, a także odpowiednie dostosowanie tytułu do zakresu takiej normy kompetencyjnej.</w:t>
            </w:r>
          </w:p>
        </w:tc>
        <w:tc>
          <w:tcPr>
            <w:tcW w:w="484" w:type="pct"/>
          </w:tcPr>
          <w:p w14:paraId="0D930C17" w14:textId="77777777" w:rsidR="00A06425" w:rsidRPr="003221DE" w:rsidRDefault="00A06425" w:rsidP="004D086F">
            <w:pPr>
              <w:jc w:val="center"/>
            </w:pPr>
          </w:p>
        </w:tc>
      </w:tr>
      <w:tr w:rsidR="00D90E96" w:rsidRPr="003221DE" w14:paraId="26504F00" w14:textId="77777777" w:rsidTr="00011BCA">
        <w:tc>
          <w:tcPr>
            <w:tcW w:w="158" w:type="pct"/>
            <w:shd w:val="clear" w:color="auto" w:fill="auto"/>
          </w:tcPr>
          <w:p w14:paraId="007FA993" w14:textId="77777777" w:rsidR="00A06425" w:rsidRPr="003221DE" w:rsidRDefault="00A06425" w:rsidP="00A06425">
            <w:pPr>
              <w:spacing w:before="120" w:after="120"/>
              <w:jc w:val="center"/>
              <w:rPr>
                <w:b/>
              </w:rPr>
            </w:pPr>
            <w:r w:rsidRPr="003221DE">
              <w:rPr>
                <w:b/>
              </w:rPr>
              <w:t>2</w:t>
            </w:r>
          </w:p>
        </w:tc>
        <w:tc>
          <w:tcPr>
            <w:tcW w:w="440" w:type="pct"/>
            <w:shd w:val="clear" w:color="auto" w:fill="auto"/>
          </w:tcPr>
          <w:p w14:paraId="3C991B3C" w14:textId="0076E512" w:rsidR="00A06425" w:rsidRPr="003221DE" w:rsidRDefault="00AA1ADE" w:rsidP="004D086F">
            <w:pPr>
              <w:spacing w:before="60" w:after="60"/>
              <w:jc w:val="center"/>
              <w:rPr>
                <w:b/>
              </w:rPr>
            </w:pPr>
            <w:r w:rsidRPr="003221DE">
              <w:rPr>
                <w:b/>
              </w:rPr>
              <w:t>RCL</w:t>
            </w:r>
          </w:p>
        </w:tc>
        <w:tc>
          <w:tcPr>
            <w:tcW w:w="812" w:type="pct"/>
            <w:shd w:val="clear" w:color="auto" w:fill="auto"/>
          </w:tcPr>
          <w:p w14:paraId="58B6946E" w14:textId="6A433E90" w:rsidR="00A06425" w:rsidRPr="003221DE" w:rsidRDefault="0095131C" w:rsidP="004D086F">
            <w:pPr>
              <w:jc w:val="center"/>
            </w:pPr>
            <w:r w:rsidRPr="003221DE">
              <w:t>Zakres podmiotowy rekomendacji</w:t>
            </w:r>
          </w:p>
        </w:tc>
        <w:tc>
          <w:tcPr>
            <w:tcW w:w="1919" w:type="pct"/>
            <w:shd w:val="clear" w:color="auto" w:fill="auto"/>
          </w:tcPr>
          <w:p w14:paraId="325A30E1" w14:textId="2E205989" w:rsidR="00A61119" w:rsidRPr="003221DE" w:rsidRDefault="00EF5756" w:rsidP="00A61119">
            <w:pPr>
              <w:jc w:val="both"/>
            </w:pPr>
            <w:r w:rsidRPr="003221DE">
              <w:t>R</w:t>
            </w:r>
            <w:r w:rsidR="00F605F9" w:rsidRPr="003221DE">
              <w:t>ekomendacje</w:t>
            </w:r>
            <w:r w:rsidR="007807A4" w:rsidRPr="003221DE">
              <w:t>,</w:t>
            </w:r>
            <w:r w:rsidR="00F605F9" w:rsidRPr="003221DE">
              <w:t xml:space="preserve"> jako</w:t>
            </w:r>
            <w:r w:rsidRPr="003221DE">
              <w:t xml:space="preserve"> wewnętrzny</w:t>
            </w:r>
            <w:r w:rsidR="00F605F9" w:rsidRPr="003221DE">
              <w:t xml:space="preserve"> dokument rządowy</w:t>
            </w:r>
            <w:r w:rsidRPr="003221DE">
              <w:t>,</w:t>
            </w:r>
            <w:r w:rsidR="00D642A2" w:rsidRPr="003221DE">
              <w:t xml:space="preserve"> nie mogą być kierowane </w:t>
            </w:r>
            <w:r w:rsidR="00802695" w:rsidRPr="003221DE">
              <w:t>do szerszego kręgu adresatów</w:t>
            </w:r>
            <w:r w:rsidR="00007BC4" w:rsidRPr="003221DE">
              <w:t xml:space="preserve"> niż podmioty administracji rządowej.</w:t>
            </w:r>
            <w:r w:rsidRPr="003221DE">
              <w:t xml:space="preserve"> Na wykraczające poza </w:t>
            </w:r>
            <w:r w:rsidR="00A61119" w:rsidRPr="003221DE">
              <w:t xml:space="preserve">ten </w:t>
            </w:r>
            <w:r w:rsidRPr="003221DE">
              <w:t xml:space="preserve">zakres zastosowanie rekomendacji wskazuje </w:t>
            </w:r>
            <w:r w:rsidR="00A61119" w:rsidRPr="003221DE">
              <w:t>cześć</w:t>
            </w:r>
            <w:r w:rsidRPr="003221DE">
              <w:t xml:space="preserve"> wprowadzająca dokumentu</w:t>
            </w:r>
            <w:r w:rsidR="00A61119" w:rsidRPr="003221DE">
              <w:t xml:space="preserve"> rozszerzająca definicję pojęcia rejestru do „</w:t>
            </w:r>
            <w:r w:rsidR="00A61119" w:rsidRPr="003221DE">
              <w:rPr>
                <w:i/>
                <w:iCs/>
              </w:rPr>
              <w:t>wszystkich zbiorów danych o uporządkowanej strukturze, prowadzonych przez podmiot realizujący zadania publiczne na podstawie przepisów ustawowych lub wydanych na ich podstawie aktów wykonawczych, nie tylko do zbiorów danych mieszczących się w definicji „rejestru publicznego” zawartej w art. 3 pkt 5 ustawy z dnia 17 lutego 2005 r. o informatyzacji działalności podmiotów realizujących zadania publiczne (</w:t>
            </w:r>
            <w:proofErr w:type="spellStart"/>
            <w:r w:rsidR="00A61119" w:rsidRPr="003221DE">
              <w:rPr>
                <w:i/>
                <w:iCs/>
              </w:rPr>
              <w:t>UoI</w:t>
            </w:r>
            <w:proofErr w:type="spellEnd"/>
            <w:r w:rsidR="00A61119" w:rsidRPr="003221DE">
              <w:rPr>
                <w:i/>
                <w:iCs/>
              </w:rPr>
              <w:t>)</w:t>
            </w:r>
            <w:r w:rsidR="00A61119" w:rsidRPr="003221DE">
              <w:t>”</w:t>
            </w:r>
          </w:p>
          <w:p w14:paraId="3CC1E4A4" w14:textId="09539DCF" w:rsidR="00EF5756" w:rsidRPr="003221DE" w:rsidRDefault="00A61119" w:rsidP="00D321C9">
            <w:pPr>
              <w:jc w:val="both"/>
            </w:pPr>
            <w:r w:rsidRPr="003221DE">
              <w:t>oraz pojęcie „</w:t>
            </w:r>
            <w:r w:rsidRPr="003221DE">
              <w:rPr>
                <w:i/>
              </w:rPr>
              <w:t>polska administracja publiczna</w:t>
            </w:r>
            <w:r w:rsidRPr="003221DE">
              <w:t>”.</w:t>
            </w:r>
          </w:p>
          <w:p w14:paraId="52150D66" w14:textId="0B54DD9A" w:rsidR="00A61119" w:rsidRPr="003221DE" w:rsidRDefault="00A61119" w:rsidP="00A61119">
            <w:pPr>
              <w:jc w:val="both"/>
            </w:pPr>
            <w:r w:rsidRPr="003221DE">
              <w:t xml:space="preserve">Podmiotem realizującym zadanie publiczne może być także organizacja pozarządowa. Organizacja taka realizuje zadanie publiczne na mocy umowy z administracją na zasadach określonych w ustawie o działalności pożytku publicznego i o wolontariacie. Organizacja taka również może prowadzić rejestr osób czy spraw (a zatem uporządkowany zbiór danych), dla potrzeb rozliczania zadania publicznego. Do takiego podmiotu rekomendacje nie mogą być kierowane, chyba że norma kompetencyjna (uwaga 1) stanowiąca podstawę wydania niniejszych rekomendacji wskazuje, że mają być one kierowane do szerokiego grona podmiotów i zobowiązuje takie podmioty do stosowania tych rekomendacji. </w:t>
            </w:r>
          </w:p>
          <w:p w14:paraId="67D9D6F4" w14:textId="49CBD264" w:rsidR="00A61119" w:rsidRPr="003221DE" w:rsidRDefault="00A61119" w:rsidP="00A61119">
            <w:pPr>
              <w:jc w:val="both"/>
            </w:pPr>
            <w:r w:rsidRPr="003221DE">
              <w:t xml:space="preserve">Ponadto ustawa z dnia 17 lutego 2005 r. o informatyzacji działalności podmiotów realizujących zadania publiczne, która ma w swoim zakresie przedmiotowym ustalenie wymagań dla rejestrów publicznych, jest kierowana wyłącznie do katalogu podmiotów określonych w art. 2 ust. 1 tej ustawy. Przepis ten wskazuje jedynie wybrane </w:t>
            </w:r>
            <w:r w:rsidRPr="003221DE">
              <w:lastRenderedPageBreak/>
              <w:t>podmioty publiczne. Należy podkreślić, że nie są to nawet wszystkie rodzaje jednostek sektora finansów publicznych, o których mowa w art. 9 ustawy o finansach publicznych. Do wszystkich innych podmiotów, niewymienionych w art. 2 ust. 1 ustawy o informatyzacji, które realizują zadania publiczne ma zastosowanie tylko jeden przepis tej ustawy – tj. art. 13 ust. 2 pkt 1 tej ustawy. Skoro przepisy ustawy o informatyzacji działalności podmiotów realizujących zadania publiczne są kierowane do ograniczonej liczby podmiotów, to formułowanie rekomendacji do szerszego grona podmiotów niż wskazany w tej ustawie należy uznać za nieprawidłowe.</w:t>
            </w:r>
          </w:p>
          <w:p w14:paraId="7B5998B4" w14:textId="77777777" w:rsidR="00EF5756" w:rsidRPr="003221DE" w:rsidRDefault="00EF5756" w:rsidP="00D321C9">
            <w:pPr>
              <w:jc w:val="both"/>
            </w:pPr>
          </w:p>
          <w:p w14:paraId="6F6917C6" w14:textId="6B1B8C76" w:rsidR="00A8702C" w:rsidRPr="003221DE" w:rsidRDefault="006261C3" w:rsidP="00B40B57">
            <w:pPr>
              <w:jc w:val="both"/>
            </w:pPr>
            <w:r w:rsidRPr="003221DE">
              <w:t>Dodatkowo należy zauważyć wewnętrzną niespójność niniejszych rekomendacji</w:t>
            </w:r>
            <w:r w:rsidR="00352B25" w:rsidRPr="003221DE">
              <w:t>. W</w:t>
            </w:r>
            <w:r w:rsidRPr="003221DE">
              <w:t xml:space="preserve"> części wprowadzającej wskazują, że odnoszą się do każdego zbioru danych nawet jeżeli ten zbiór nie mieści się w definicji rejestru publicznego, a następnie zobowiązują</w:t>
            </w:r>
            <w:r w:rsidR="00896F49" w:rsidRPr="003221DE">
              <w:t xml:space="preserve"> (w pkt 3 rekomendacji)</w:t>
            </w:r>
            <w:r w:rsidR="00C11F4D" w:rsidRPr="003221DE">
              <w:t xml:space="preserve"> aby w aktach prawnych ustanawiających rejestr posługiwać się sformułowaniem „rejestr publiczny w rozumieniu </w:t>
            </w:r>
            <w:proofErr w:type="spellStart"/>
            <w:r w:rsidR="00C11F4D" w:rsidRPr="003221DE">
              <w:t>UoI</w:t>
            </w:r>
            <w:proofErr w:type="spellEnd"/>
            <w:r w:rsidR="00C11F4D" w:rsidRPr="003221DE">
              <w:t>”.</w:t>
            </w:r>
            <w:r w:rsidR="00352B25" w:rsidRPr="003221DE">
              <w:t xml:space="preserve"> </w:t>
            </w:r>
          </w:p>
        </w:tc>
        <w:tc>
          <w:tcPr>
            <w:tcW w:w="1186" w:type="pct"/>
            <w:shd w:val="clear" w:color="auto" w:fill="auto"/>
          </w:tcPr>
          <w:p w14:paraId="2DC202A3" w14:textId="549B6753" w:rsidR="00A06425" w:rsidRPr="003221DE" w:rsidRDefault="00AA1ADE" w:rsidP="004D086F">
            <w:pPr>
              <w:jc w:val="center"/>
            </w:pPr>
            <w:r w:rsidRPr="003221DE">
              <w:lastRenderedPageBreak/>
              <w:t xml:space="preserve">Ograniczenie rekomendacji jedynie do podmiotów, które mieszczą się w </w:t>
            </w:r>
            <w:r w:rsidR="00A25EAF" w:rsidRPr="003221DE">
              <w:t xml:space="preserve">katalogu podmiotów </w:t>
            </w:r>
            <w:r w:rsidR="00902343" w:rsidRPr="003221DE">
              <w:t xml:space="preserve">podległych lub nadzorowanych wobec dysponenta dokumentu. </w:t>
            </w:r>
          </w:p>
        </w:tc>
        <w:tc>
          <w:tcPr>
            <w:tcW w:w="484" w:type="pct"/>
          </w:tcPr>
          <w:p w14:paraId="06EBFCDD" w14:textId="77777777" w:rsidR="00A06425" w:rsidRPr="003221DE" w:rsidRDefault="00A06425" w:rsidP="004D086F">
            <w:pPr>
              <w:jc w:val="center"/>
            </w:pPr>
          </w:p>
        </w:tc>
      </w:tr>
      <w:tr w:rsidR="00F22BFB" w:rsidRPr="003221DE" w14:paraId="04615826" w14:textId="77777777" w:rsidTr="00011BCA">
        <w:tc>
          <w:tcPr>
            <w:tcW w:w="158" w:type="pct"/>
            <w:shd w:val="clear" w:color="auto" w:fill="auto"/>
          </w:tcPr>
          <w:p w14:paraId="7DE96BC1" w14:textId="0BB22205" w:rsidR="00F22BFB" w:rsidRPr="003221DE" w:rsidRDefault="004515D2" w:rsidP="00A06425">
            <w:pPr>
              <w:spacing w:before="120" w:after="120"/>
              <w:jc w:val="center"/>
              <w:rPr>
                <w:b/>
              </w:rPr>
            </w:pPr>
            <w:r w:rsidRPr="003221DE">
              <w:rPr>
                <w:b/>
              </w:rPr>
              <w:t>3</w:t>
            </w:r>
          </w:p>
        </w:tc>
        <w:tc>
          <w:tcPr>
            <w:tcW w:w="440" w:type="pct"/>
            <w:shd w:val="clear" w:color="auto" w:fill="auto"/>
          </w:tcPr>
          <w:p w14:paraId="7ED7D20E" w14:textId="78D10507" w:rsidR="00F22BFB" w:rsidRPr="003221DE" w:rsidRDefault="00F22BFB" w:rsidP="004D086F">
            <w:pPr>
              <w:spacing w:before="60" w:after="60"/>
              <w:jc w:val="center"/>
              <w:rPr>
                <w:b/>
              </w:rPr>
            </w:pPr>
            <w:r w:rsidRPr="003221DE">
              <w:rPr>
                <w:b/>
              </w:rPr>
              <w:t>RCL</w:t>
            </w:r>
          </w:p>
        </w:tc>
        <w:tc>
          <w:tcPr>
            <w:tcW w:w="812" w:type="pct"/>
            <w:shd w:val="clear" w:color="auto" w:fill="auto"/>
          </w:tcPr>
          <w:p w14:paraId="38A26889" w14:textId="3B248C67" w:rsidR="00F22BFB" w:rsidRPr="003221DE" w:rsidRDefault="00F22BFB" w:rsidP="004D086F">
            <w:pPr>
              <w:jc w:val="center"/>
            </w:pPr>
            <w:r w:rsidRPr="003221DE">
              <w:t xml:space="preserve">Pojęcia z wprowadzenia do rekomendacji </w:t>
            </w:r>
          </w:p>
        </w:tc>
        <w:tc>
          <w:tcPr>
            <w:tcW w:w="1919" w:type="pct"/>
            <w:shd w:val="clear" w:color="auto" w:fill="auto"/>
          </w:tcPr>
          <w:p w14:paraId="49911694" w14:textId="6AC749B8" w:rsidR="00F22BFB" w:rsidRPr="003221DE" w:rsidRDefault="00E40D9C" w:rsidP="00D321C9">
            <w:pPr>
              <w:jc w:val="both"/>
            </w:pPr>
            <w:r w:rsidRPr="003221DE">
              <w:t xml:space="preserve">Projektodawca wskazuje, że będzie prowadzony Katalog </w:t>
            </w:r>
            <w:r w:rsidR="00C9151E" w:rsidRPr="003221DE">
              <w:t xml:space="preserve">Rejestrów Publicznych, który ma zapewnić „pierwszeństwo” i </w:t>
            </w:r>
            <w:r w:rsidR="00B40B57" w:rsidRPr="003221DE">
              <w:t>unikalność</w:t>
            </w:r>
            <w:r w:rsidR="00C9151E" w:rsidRPr="003221DE">
              <w:t xml:space="preserve"> nazw rejestrów. Rekomendacja jest w tym zakresie bardzo ogólna nie wskazuje kto będzie prowadził katalog, jaki skutek dla kolejnych rejestrów będzie miało umieszczenie nazwy rejestru w katalogu – czy będzie się ona stawała zastrzeżona podobnie jak w przepisach Prawa własności </w:t>
            </w:r>
            <w:r w:rsidR="00D647D0" w:rsidRPr="003221DE">
              <w:t>przemysłowej</w:t>
            </w:r>
            <w:r w:rsidR="00B40B57" w:rsidRPr="003221DE">
              <w:t>.</w:t>
            </w:r>
            <w:r w:rsidRPr="003221DE">
              <w:t xml:space="preserve"> </w:t>
            </w:r>
          </w:p>
        </w:tc>
        <w:tc>
          <w:tcPr>
            <w:tcW w:w="1186" w:type="pct"/>
            <w:shd w:val="clear" w:color="auto" w:fill="auto"/>
          </w:tcPr>
          <w:p w14:paraId="5E1BF831" w14:textId="74AE1AD4" w:rsidR="00F22BFB" w:rsidRPr="003221DE" w:rsidRDefault="00D647D0" w:rsidP="004D086F">
            <w:pPr>
              <w:jc w:val="center"/>
            </w:pPr>
            <w:r w:rsidRPr="003221DE">
              <w:t xml:space="preserve">Wymaga doprecyzowania i wyjaśnienia </w:t>
            </w:r>
          </w:p>
        </w:tc>
        <w:tc>
          <w:tcPr>
            <w:tcW w:w="484" w:type="pct"/>
          </w:tcPr>
          <w:p w14:paraId="720D5421" w14:textId="77777777" w:rsidR="00F22BFB" w:rsidRPr="003221DE" w:rsidRDefault="00F22BFB" w:rsidP="004D086F">
            <w:pPr>
              <w:jc w:val="center"/>
            </w:pPr>
          </w:p>
        </w:tc>
      </w:tr>
      <w:tr w:rsidR="004515D2" w:rsidRPr="003221DE" w14:paraId="79E13553" w14:textId="77777777" w:rsidTr="006F6E8A">
        <w:trPr>
          <w:trHeight w:val="4675"/>
        </w:trPr>
        <w:tc>
          <w:tcPr>
            <w:tcW w:w="158" w:type="pct"/>
            <w:vMerge w:val="restart"/>
            <w:shd w:val="clear" w:color="auto" w:fill="auto"/>
          </w:tcPr>
          <w:p w14:paraId="4C006DE3" w14:textId="77777777" w:rsidR="004515D2" w:rsidRPr="003221DE" w:rsidRDefault="004515D2" w:rsidP="00AA1ADE">
            <w:pPr>
              <w:spacing w:before="120" w:after="120"/>
              <w:jc w:val="center"/>
              <w:rPr>
                <w:b/>
              </w:rPr>
            </w:pPr>
            <w:r w:rsidRPr="003221DE">
              <w:rPr>
                <w:b/>
              </w:rPr>
              <w:lastRenderedPageBreak/>
              <w:t>4</w:t>
            </w:r>
          </w:p>
        </w:tc>
        <w:tc>
          <w:tcPr>
            <w:tcW w:w="440" w:type="pct"/>
            <w:vMerge w:val="restart"/>
            <w:shd w:val="clear" w:color="auto" w:fill="auto"/>
          </w:tcPr>
          <w:p w14:paraId="47848B3C" w14:textId="420F8BD0" w:rsidR="004515D2" w:rsidRPr="003221DE" w:rsidRDefault="009566B4" w:rsidP="00AA1ADE">
            <w:pPr>
              <w:spacing w:before="60" w:after="60"/>
              <w:jc w:val="center"/>
              <w:rPr>
                <w:b/>
              </w:rPr>
            </w:pPr>
            <w:r w:rsidRPr="003221DE">
              <w:rPr>
                <w:b/>
              </w:rPr>
              <w:t>RCL</w:t>
            </w:r>
          </w:p>
        </w:tc>
        <w:tc>
          <w:tcPr>
            <w:tcW w:w="812" w:type="pct"/>
            <w:vMerge w:val="restart"/>
            <w:shd w:val="clear" w:color="auto" w:fill="auto"/>
          </w:tcPr>
          <w:p w14:paraId="668E06B3" w14:textId="77777777" w:rsidR="004515D2" w:rsidRPr="003221DE" w:rsidRDefault="004515D2" w:rsidP="00AA1ADE">
            <w:pPr>
              <w:jc w:val="center"/>
            </w:pPr>
            <w:r w:rsidRPr="003221DE">
              <w:t>Sprzeczność z normami prawa powszechnie obowiązującymi</w:t>
            </w:r>
          </w:p>
          <w:p w14:paraId="42DE5A9B" w14:textId="01076345" w:rsidR="004515D2" w:rsidRPr="003221DE" w:rsidRDefault="004515D2" w:rsidP="009B0DB8">
            <w:pPr>
              <w:jc w:val="center"/>
            </w:pPr>
          </w:p>
        </w:tc>
        <w:tc>
          <w:tcPr>
            <w:tcW w:w="1919" w:type="pct"/>
            <w:vMerge w:val="restart"/>
            <w:shd w:val="clear" w:color="auto" w:fill="auto"/>
          </w:tcPr>
          <w:p w14:paraId="17A4F284" w14:textId="6D65B13E" w:rsidR="004515D2" w:rsidRPr="003221DE" w:rsidRDefault="004515D2" w:rsidP="00B40B57">
            <w:pPr>
              <w:jc w:val="both"/>
            </w:pPr>
            <w:r w:rsidRPr="003221DE">
              <w:t xml:space="preserve">Dokument rządowy, którego celem jest zobowiązanie administracji i innych podmiotów do określonego rodzaju działania musi pozostać spójny z normami prawnymi powszechnie obowiązującymi. </w:t>
            </w:r>
          </w:p>
          <w:p w14:paraId="2DC53723" w14:textId="09AFA7A1" w:rsidR="004515D2" w:rsidRPr="003221DE" w:rsidRDefault="007807A4" w:rsidP="00B40B57">
            <w:pPr>
              <w:jc w:val="both"/>
            </w:pPr>
            <w:r w:rsidRPr="003221DE">
              <w:t>Rekomendacje</w:t>
            </w:r>
            <w:r w:rsidR="004515D2" w:rsidRPr="003221DE">
              <w:t xml:space="preserve"> wymaga</w:t>
            </w:r>
            <w:r w:rsidRPr="003221DE">
              <w:t>ją</w:t>
            </w:r>
            <w:r w:rsidR="004515D2" w:rsidRPr="003221DE">
              <w:t xml:space="preserve"> </w:t>
            </w:r>
            <w:r w:rsidRPr="003221DE">
              <w:t>ponownej analizy</w:t>
            </w:r>
            <w:r w:rsidR="004515D2" w:rsidRPr="003221DE">
              <w:t xml:space="preserve"> pod kątem </w:t>
            </w:r>
            <w:r w:rsidRPr="003221DE">
              <w:t xml:space="preserve">zgodności z </w:t>
            </w:r>
            <w:r w:rsidR="004515D2" w:rsidRPr="003221DE">
              <w:t>powszechnie obowiązujący</w:t>
            </w:r>
            <w:r w:rsidRPr="003221DE">
              <w:t>mi</w:t>
            </w:r>
            <w:r w:rsidR="004515D2" w:rsidRPr="003221DE">
              <w:t xml:space="preserve"> regulacj</w:t>
            </w:r>
            <w:r w:rsidRPr="003221DE">
              <w:t>ami.</w:t>
            </w:r>
            <w:r w:rsidR="004515D2" w:rsidRPr="003221DE">
              <w:t xml:space="preserve"> </w:t>
            </w:r>
            <w:r w:rsidRPr="003221DE">
              <w:t>Z</w:t>
            </w:r>
            <w:r w:rsidR="004515D2" w:rsidRPr="003221DE">
              <w:t xml:space="preserve">astosowanie się do </w:t>
            </w:r>
            <w:r w:rsidRPr="003221DE">
              <w:t>projektowanych</w:t>
            </w:r>
            <w:r w:rsidR="004515D2" w:rsidRPr="003221DE">
              <w:t xml:space="preserve"> rekomendacji nie </w:t>
            </w:r>
            <w:r w:rsidRPr="003221DE">
              <w:t xml:space="preserve">może </w:t>
            </w:r>
            <w:r w:rsidR="004515D2" w:rsidRPr="003221DE">
              <w:t>powodowa</w:t>
            </w:r>
            <w:r w:rsidRPr="003221DE">
              <w:t>ć</w:t>
            </w:r>
            <w:r w:rsidR="004515D2" w:rsidRPr="003221DE">
              <w:t>, że podmiot</w:t>
            </w:r>
            <w:r w:rsidRPr="003221DE">
              <w:t xml:space="preserve"> je stosujący</w:t>
            </w:r>
            <w:r w:rsidR="004515D2" w:rsidRPr="003221DE">
              <w:t xml:space="preserve"> pozostaje w sprzeczności z powszechnie obowiązującym prawem.</w:t>
            </w:r>
          </w:p>
          <w:p w14:paraId="328162B7" w14:textId="77777777" w:rsidR="004515D2" w:rsidRPr="003221DE" w:rsidRDefault="004515D2" w:rsidP="00DF335B"/>
          <w:p w14:paraId="0841AD03" w14:textId="77777777" w:rsidR="004515D2" w:rsidRPr="003221DE" w:rsidRDefault="004515D2" w:rsidP="00B40B57">
            <w:r w:rsidRPr="003221DE">
              <w:t>Poniżej wybrane problemy:</w:t>
            </w:r>
          </w:p>
          <w:p w14:paraId="28006705" w14:textId="44B9041F" w:rsidR="004515D2" w:rsidRPr="003221DE" w:rsidRDefault="004515D2" w:rsidP="00612416">
            <w:pPr>
              <w:numPr>
                <w:ilvl w:val="0"/>
                <w:numId w:val="5"/>
              </w:numPr>
              <w:jc w:val="both"/>
            </w:pPr>
            <w:r w:rsidRPr="003221DE">
              <w:t>w zakresie pkt 3</w:t>
            </w:r>
            <w:r w:rsidR="00661FA4" w:rsidRPr="003221DE">
              <w:t>:</w:t>
            </w:r>
            <w:r w:rsidRPr="003221DE">
              <w:t xml:space="preserve"> należy doprecyzować, że podstawa do ustanowienia rejestru, określenie zasad gromadzenia danych w rejestrze powinno być regulowane w ustawie (tak art. 51 Konstytucji);</w:t>
            </w:r>
          </w:p>
          <w:p w14:paraId="327D052E" w14:textId="29F9D9FF" w:rsidR="004515D2" w:rsidRPr="003221DE" w:rsidRDefault="004515D2" w:rsidP="00612416">
            <w:pPr>
              <w:numPr>
                <w:ilvl w:val="0"/>
                <w:numId w:val="5"/>
              </w:numPr>
              <w:jc w:val="both"/>
            </w:pPr>
            <w:r w:rsidRPr="003221DE">
              <w:t>w zakresie pkt 4 lit. b rekomendacji: zapewnienia zgodności z art. 3 pkt 3 ustawy z dnia 17 lutego 2005 r. o informatyzacji działalności podmiotów realizujących zadania publiczne. Integralną częścią systemu</w:t>
            </w:r>
            <w:r w:rsidR="00661FA4" w:rsidRPr="003221DE">
              <w:t xml:space="preserve"> teleinformatycznego</w:t>
            </w:r>
            <w:r w:rsidRPr="003221DE">
              <w:t xml:space="preserve"> jest bowiem wysyłanie i odbieranie danych przy użyciu sieci telekomunikacyjnej oraz połączenie urządzeń i</w:t>
            </w:r>
            <w:r w:rsidR="00661FA4" w:rsidRPr="003221DE">
              <w:t> </w:t>
            </w:r>
            <w:r w:rsidRPr="003221DE">
              <w:t xml:space="preserve">oprogramowania. Skoro zgodnie z art. 1 pkt 2 ustawy </w:t>
            </w:r>
            <w:r w:rsidR="00661FA4" w:rsidRPr="003221DE">
              <w:t xml:space="preserve">z dnia 17 lutego 2005 r. </w:t>
            </w:r>
            <w:r w:rsidRPr="003221DE">
              <w:t>o</w:t>
            </w:r>
            <w:r w:rsidR="00661FA4" w:rsidRPr="003221DE">
              <w:t> </w:t>
            </w:r>
            <w:r w:rsidRPr="003221DE">
              <w:t>informatyzacji działalności podmiotów realizujących zadania publiczne ma ona na celu „</w:t>
            </w:r>
            <w:r w:rsidRPr="003221DE">
              <w:rPr>
                <w:i/>
              </w:rPr>
              <w:t>ustalanie minimalnych wymagań dla systemów teleinformatycznych używanych do realizacji zadań publicznych oraz dla rejestrów publicznych</w:t>
            </w:r>
            <w:r w:rsidRPr="003221DE">
              <w:t>”</w:t>
            </w:r>
            <w:r w:rsidR="00C75C12" w:rsidRPr="003221DE">
              <w:t xml:space="preserve">, </w:t>
            </w:r>
            <w:r w:rsidRPr="003221DE">
              <w:t>to nie można sprzecznie z tą ustawą w niniejszych rekomendacjach ustalać, że systemem teleinformatycznym jest</w:t>
            </w:r>
            <w:r w:rsidR="00C75C12" w:rsidRPr="003221DE">
              <w:t xml:space="preserve"> arkusz kalkulacyjny, czyli</w:t>
            </w:r>
            <w:r w:rsidRPr="003221DE">
              <w:t xml:space="preserve"> pewien rodzaj dokumentu w postaci elektronicznej;</w:t>
            </w:r>
          </w:p>
          <w:p w14:paraId="560680F5" w14:textId="4C7FD6D3" w:rsidR="000A4A0D" w:rsidRPr="003221DE" w:rsidRDefault="004515D2" w:rsidP="000A4A0D">
            <w:pPr>
              <w:numPr>
                <w:ilvl w:val="0"/>
                <w:numId w:val="5"/>
              </w:numPr>
              <w:jc w:val="both"/>
            </w:pPr>
            <w:r w:rsidRPr="003221DE">
              <w:t xml:space="preserve">w zakresie pkt 4 rekomendacji wskazano, że każdy rejestr powinien być prowadzony w systemie teleinformatycznym.  Jest to niespójne z art. 14 ust. 2 </w:t>
            </w:r>
            <w:r w:rsidRPr="003221DE">
              <w:lastRenderedPageBreak/>
              <w:t>ustawy</w:t>
            </w:r>
            <w:r w:rsidR="00C75C12" w:rsidRPr="003221DE">
              <w:t xml:space="preserve"> z dnia 17 lutego 2005 r.</w:t>
            </w:r>
            <w:r w:rsidRPr="003221DE">
              <w:t xml:space="preserve"> o informatyzacji działalności podmiotów realizujących zadania publiczne, gdyż </w:t>
            </w:r>
            <w:r w:rsidR="007807A4" w:rsidRPr="003221DE">
              <w:t xml:space="preserve">przepis ten </w:t>
            </w:r>
            <w:r w:rsidRPr="003221DE">
              <w:t>obowiązuje do</w:t>
            </w:r>
            <w:r w:rsidR="00C75C12" w:rsidRPr="003221DE">
              <w:t> </w:t>
            </w:r>
            <w:r w:rsidRPr="003221DE">
              <w:t>prowadzenia rejestru w systemie teleinformatycznym jedynie organ administracji rządowej. Pozostałe organy administracji publicznej i podmioty publiczne nie zostały zobowiązane do prowadzenia rejestrów w systemach teleinformatycznych</w:t>
            </w:r>
            <w:r w:rsidR="000A4A0D" w:rsidRPr="003221DE">
              <w:t>;</w:t>
            </w:r>
          </w:p>
          <w:p w14:paraId="68E3AE12" w14:textId="659C66D7" w:rsidR="000A4A0D" w:rsidRPr="003221DE" w:rsidRDefault="000A4A0D" w:rsidP="000A4A0D">
            <w:pPr>
              <w:numPr>
                <w:ilvl w:val="0"/>
                <w:numId w:val="5"/>
              </w:numPr>
              <w:jc w:val="both"/>
            </w:pPr>
            <w:r w:rsidRPr="003221DE">
              <w:t xml:space="preserve"> w zakresie pkt 5 lit. a nie kwestionując potrzeby uregulowania zakresu danych gromadzonych w rejestrze należy zwrócić uwagę, że ogólny zakres danych, który jest gromadzony w rejestrze, zwłaszcza tych dotyczących obywateli, musi zawsze w wynikać z regulacji o randze ustawy. Wynika to z art. 51 Konstytucji RP. Nie ma możliwości „dostosowania rangi aktu prawnego”, jak wskazuje rekomendacja;</w:t>
            </w:r>
          </w:p>
          <w:p w14:paraId="0D5799F6" w14:textId="4F4104AA" w:rsidR="000A0BE0" w:rsidRPr="003221DE" w:rsidRDefault="00E841E9" w:rsidP="000A4A0D">
            <w:pPr>
              <w:numPr>
                <w:ilvl w:val="0"/>
                <w:numId w:val="5"/>
              </w:numPr>
              <w:jc w:val="both"/>
            </w:pPr>
            <w:r w:rsidRPr="003221DE">
              <w:t>w zakresie pkt</w:t>
            </w:r>
            <w:r w:rsidR="000A0BE0" w:rsidRPr="003221DE">
              <w:t xml:space="preserve"> 7, 10 i 15 - </w:t>
            </w:r>
            <w:r w:rsidRPr="003221DE">
              <w:t>rekomendacje nie uwzględniają wynikającego z przepisów powszechnie obowiązujących prawa do żądania dostępu do danych i ich usunięcia lub sprostowania (art. 51 ust. 3 i 4 Konstytucji RP);</w:t>
            </w:r>
          </w:p>
          <w:p w14:paraId="341F0C05" w14:textId="0AC917C0" w:rsidR="009014C9" w:rsidRPr="003221DE" w:rsidRDefault="00442BFF" w:rsidP="009014C9">
            <w:pPr>
              <w:numPr>
                <w:ilvl w:val="0"/>
                <w:numId w:val="5"/>
              </w:numPr>
              <w:jc w:val="both"/>
            </w:pPr>
            <w:r w:rsidRPr="003221DE">
              <w:t xml:space="preserve">w zakresie pkt 11 - </w:t>
            </w:r>
            <w:r w:rsidR="00386EDE" w:rsidRPr="003221DE">
              <w:t>rekomendacje powinny uwzględniać ograniczenia dotyczące pozyskiwania i przetwarzania danych</w:t>
            </w:r>
            <w:r w:rsidR="00A66F10" w:rsidRPr="003221DE">
              <w:t xml:space="preserve"> wynikając</w:t>
            </w:r>
            <w:r w:rsidR="003044CE">
              <w:t>e</w:t>
            </w:r>
            <w:r w:rsidR="00A66F10" w:rsidRPr="003221DE">
              <w:t xml:space="preserve"> z art. 47, art. 53 ust. 7 czy 61 ust. 3 Konstytucji RP</w:t>
            </w:r>
            <w:r w:rsidR="00414948" w:rsidRPr="003221DE">
              <w:t xml:space="preserve"> or</w:t>
            </w:r>
            <w:r w:rsidR="003044CE">
              <w:t>a</w:t>
            </w:r>
            <w:r w:rsidR="00414948" w:rsidRPr="003221DE">
              <w:t>z art. 9 i 10 RODO</w:t>
            </w:r>
            <w:r w:rsidR="00FF2B07" w:rsidRPr="003221DE">
              <w:t>, a także ustaw określających katalog tajemnic prawnie chronionych</w:t>
            </w:r>
            <w:r w:rsidR="0030414E" w:rsidRPr="003221DE">
              <w:t>;</w:t>
            </w:r>
          </w:p>
          <w:p w14:paraId="6746D608" w14:textId="06585DC0" w:rsidR="0030414E" w:rsidRPr="003221DE" w:rsidRDefault="008D7450" w:rsidP="00D30C2E">
            <w:pPr>
              <w:numPr>
                <w:ilvl w:val="0"/>
                <w:numId w:val="5"/>
              </w:numPr>
              <w:jc w:val="both"/>
            </w:pPr>
            <w:r w:rsidRPr="003221DE">
              <w:t xml:space="preserve">w zakresie pkt 21 i 22 </w:t>
            </w:r>
            <w:r w:rsidR="00FF2B07" w:rsidRPr="003221DE">
              <w:t>–</w:t>
            </w:r>
            <w:r w:rsidRPr="003221DE">
              <w:t xml:space="preserve"> </w:t>
            </w:r>
            <w:r w:rsidR="00FF2B07" w:rsidRPr="003221DE">
              <w:t xml:space="preserve">w odniesieniu do referencyjności i </w:t>
            </w:r>
            <w:r w:rsidR="00DE1E2D" w:rsidRPr="003221DE">
              <w:t>źródeł</w:t>
            </w:r>
            <w:r w:rsidR="00FF2B07" w:rsidRPr="003221DE">
              <w:t xml:space="preserve"> danych </w:t>
            </w:r>
            <w:r w:rsidR="00DE1E2D" w:rsidRPr="003221DE">
              <w:t xml:space="preserve">- </w:t>
            </w:r>
            <w:r w:rsidR="00FF2B07" w:rsidRPr="003221DE">
              <w:t xml:space="preserve">należy wskazać, że uregulowania stanowiące, że </w:t>
            </w:r>
            <w:r w:rsidR="009014C9" w:rsidRPr="003221DE">
              <w:t xml:space="preserve">rejestry przesyłają sobie nawzajem określony zakres danych, a wpis w rejestrze A staje się podstawą do wpisu w rejestrze B – powinno wynikać z regulacji rangi ustawowej. </w:t>
            </w:r>
            <w:r w:rsidR="00854F87" w:rsidRPr="003221DE">
              <w:t>Jeżeli rejestry nie są jawne i publicznie dostępne</w:t>
            </w:r>
            <w:r w:rsidR="00DE1E2D" w:rsidRPr="003221DE">
              <w:t>,</w:t>
            </w:r>
            <w:r w:rsidR="00854F87" w:rsidRPr="003221DE">
              <w:t xml:space="preserve"> wówczas na poziomie ustawy należy określić: kto, w jakim trybie i na jakich zasadach może uzyskiwać dane. Katalog </w:t>
            </w:r>
            <w:r w:rsidR="00854F87" w:rsidRPr="003221DE">
              <w:lastRenderedPageBreak/>
              <w:t>użytkowników danych, czyli podmiotów, które mają do nich dostęp, o ile nie są to dane publiczne dostępne, musi być precyzyjnie określony na poziomie ustawowym.</w:t>
            </w:r>
          </w:p>
        </w:tc>
        <w:tc>
          <w:tcPr>
            <w:tcW w:w="1186" w:type="pct"/>
            <w:shd w:val="clear" w:color="auto" w:fill="auto"/>
          </w:tcPr>
          <w:p w14:paraId="39945BEC" w14:textId="77777777" w:rsidR="004515D2" w:rsidRPr="003221DE" w:rsidRDefault="004515D2" w:rsidP="00AA1ADE">
            <w:pPr>
              <w:jc w:val="center"/>
            </w:pPr>
            <w:r w:rsidRPr="003221DE">
              <w:lastRenderedPageBreak/>
              <w:t xml:space="preserve">Weryfikacji zgodności z normami prawa powszechnie obowiązującego wskazanych postanowień i odpowiednie przeredagowanie rekomendacji, aby zapewnić ich spójność z prawem powszechnie obowiązującym. </w:t>
            </w:r>
          </w:p>
          <w:p w14:paraId="43701E9D" w14:textId="77777777" w:rsidR="004515D2" w:rsidRPr="003221DE" w:rsidRDefault="004515D2" w:rsidP="00AA1ADE">
            <w:pPr>
              <w:jc w:val="center"/>
            </w:pPr>
          </w:p>
          <w:p w14:paraId="238DD610" w14:textId="55ABEE20" w:rsidR="004515D2" w:rsidRPr="003221DE" w:rsidRDefault="004515D2" w:rsidP="00AA1ADE">
            <w:pPr>
              <w:jc w:val="center"/>
            </w:pPr>
          </w:p>
        </w:tc>
        <w:tc>
          <w:tcPr>
            <w:tcW w:w="484" w:type="pct"/>
          </w:tcPr>
          <w:p w14:paraId="1359DF89" w14:textId="77777777" w:rsidR="004515D2" w:rsidRPr="003221DE" w:rsidRDefault="004515D2" w:rsidP="00AA1ADE">
            <w:pPr>
              <w:jc w:val="center"/>
            </w:pPr>
          </w:p>
        </w:tc>
      </w:tr>
      <w:tr w:rsidR="004515D2" w:rsidRPr="003221DE" w14:paraId="35065845" w14:textId="77777777" w:rsidTr="00011BCA">
        <w:trPr>
          <w:trHeight w:val="5067"/>
        </w:trPr>
        <w:tc>
          <w:tcPr>
            <w:tcW w:w="158" w:type="pct"/>
            <w:vMerge/>
            <w:shd w:val="clear" w:color="auto" w:fill="auto"/>
          </w:tcPr>
          <w:p w14:paraId="38AD835E" w14:textId="77777777" w:rsidR="004515D2" w:rsidRPr="003221DE" w:rsidRDefault="004515D2" w:rsidP="00AA1ADE">
            <w:pPr>
              <w:spacing w:before="120" w:after="120"/>
              <w:jc w:val="center"/>
              <w:rPr>
                <w:b/>
              </w:rPr>
            </w:pPr>
          </w:p>
        </w:tc>
        <w:tc>
          <w:tcPr>
            <w:tcW w:w="440" w:type="pct"/>
            <w:vMerge/>
            <w:shd w:val="clear" w:color="auto" w:fill="auto"/>
          </w:tcPr>
          <w:p w14:paraId="739580C4" w14:textId="77777777" w:rsidR="004515D2" w:rsidRPr="003221DE" w:rsidRDefault="004515D2" w:rsidP="00AA1ADE">
            <w:pPr>
              <w:spacing w:before="60" w:after="60"/>
              <w:jc w:val="center"/>
              <w:rPr>
                <w:b/>
              </w:rPr>
            </w:pPr>
          </w:p>
        </w:tc>
        <w:tc>
          <w:tcPr>
            <w:tcW w:w="812" w:type="pct"/>
            <w:vMerge/>
            <w:shd w:val="clear" w:color="auto" w:fill="auto"/>
          </w:tcPr>
          <w:p w14:paraId="4979D451" w14:textId="77777777" w:rsidR="004515D2" w:rsidRPr="003221DE" w:rsidRDefault="004515D2" w:rsidP="00AA1ADE">
            <w:pPr>
              <w:jc w:val="center"/>
            </w:pPr>
          </w:p>
        </w:tc>
        <w:tc>
          <w:tcPr>
            <w:tcW w:w="1919" w:type="pct"/>
            <w:vMerge/>
            <w:shd w:val="clear" w:color="auto" w:fill="auto"/>
          </w:tcPr>
          <w:p w14:paraId="61D2FDAB" w14:textId="1396AD60" w:rsidR="004515D2" w:rsidRPr="003221DE" w:rsidRDefault="004515D2" w:rsidP="004515D2">
            <w:pPr>
              <w:jc w:val="both"/>
            </w:pPr>
          </w:p>
        </w:tc>
        <w:tc>
          <w:tcPr>
            <w:tcW w:w="1186" w:type="pct"/>
            <w:shd w:val="clear" w:color="auto" w:fill="auto"/>
          </w:tcPr>
          <w:p w14:paraId="765A6594" w14:textId="3E62FB68" w:rsidR="004515D2" w:rsidRPr="003221DE" w:rsidRDefault="004515D2" w:rsidP="00AA1ADE">
            <w:pPr>
              <w:jc w:val="center"/>
            </w:pPr>
          </w:p>
        </w:tc>
        <w:tc>
          <w:tcPr>
            <w:tcW w:w="484" w:type="pct"/>
          </w:tcPr>
          <w:p w14:paraId="04F7E484" w14:textId="77777777" w:rsidR="004515D2" w:rsidRPr="003221DE" w:rsidRDefault="004515D2" w:rsidP="00AA1ADE">
            <w:pPr>
              <w:jc w:val="center"/>
            </w:pPr>
          </w:p>
        </w:tc>
      </w:tr>
      <w:tr w:rsidR="00D90E96" w:rsidRPr="003221DE" w14:paraId="45745C2A" w14:textId="77777777" w:rsidTr="00D83498">
        <w:trPr>
          <w:trHeight w:val="3116"/>
        </w:trPr>
        <w:tc>
          <w:tcPr>
            <w:tcW w:w="158" w:type="pct"/>
            <w:shd w:val="clear" w:color="auto" w:fill="auto"/>
          </w:tcPr>
          <w:p w14:paraId="3F96ED62" w14:textId="01D546D8" w:rsidR="00C8023E" w:rsidRPr="003221DE" w:rsidRDefault="00F97C50" w:rsidP="00AA1ADE">
            <w:pPr>
              <w:spacing w:before="120" w:after="120"/>
              <w:jc w:val="center"/>
              <w:rPr>
                <w:b/>
              </w:rPr>
            </w:pPr>
            <w:r w:rsidRPr="003221DE">
              <w:rPr>
                <w:b/>
              </w:rPr>
              <w:lastRenderedPageBreak/>
              <w:t>5</w:t>
            </w:r>
          </w:p>
        </w:tc>
        <w:tc>
          <w:tcPr>
            <w:tcW w:w="440" w:type="pct"/>
            <w:shd w:val="clear" w:color="auto" w:fill="auto"/>
          </w:tcPr>
          <w:p w14:paraId="1C1DA79D" w14:textId="23E2DAA8" w:rsidR="00C8023E" w:rsidRPr="003221DE" w:rsidRDefault="00C8023E" w:rsidP="00AA1ADE">
            <w:pPr>
              <w:spacing w:before="60" w:after="60"/>
              <w:jc w:val="center"/>
              <w:rPr>
                <w:b/>
              </w:rPr>
            </w:pPr>
            <w:r w:rsidRPr="003221DE">
              <w:rPr>
                <w:b/>
              </w:rPr>
              <w:t>RCL</w:t>
            </w:r>
          </w:p>
        </w:tc>
        <w:tc>
          <w:tcPr>
            <w:tcW w:w="812" w:type="pct"/>
            <w:shd w:val="clear" w:color="auto" w:fill="auto"/>
          </w:tcPr>
          <w:p w14:paraId="38B3F1CD" w14:textId="4EDB632C" w:rsidR="00C8023E" w:rsidRPr="003221DE" w:rsidRDefault="0030681F" w:rsidP="00A7160E">
            <w:pPr>
              <w:pStyle w:val="Nagwek2"/>
              <w:ind w:left="0"/>
              <w:rPr>
                <w:rFonts w:ascii="Times New Roman" w:hAnsi="Times New Roman" w:cs="Times New Roman"/>
                <w:sz w:val="24"/>
                <w:szCs w:val="24"/>
              </w:rPr>
            </w:pPr>
            <w:r w:rsidRPr="003221DE">
              <w:rPr>
                <w:rFonts w:ascii="Times New Roman" w:hAnsi="Times New Roman" w:cs="Times New Roman"/>
                <w:sz w:val="24"/>
                <w:szCs w:val="24"/>
              </w:rPr>
              <w:t>Rekomendacja nr 11 w zakresie Dostępu do danych</w:t>
            </w:r>
          </w:p>
        </w:tc>
        <w:tc>
          <w:tcPr>
            <w:tcW w:w="1919" w:type="pct"/>
            <w:shd w:val="clear" w:color="auto" w:fill="auto"/>
          </w:tcPr>
          <w:p w14:paraId="6A500F0D" w14:textId="08516AFF" w:rsidR="005C74A9" w:rsidRPr="003221DE" w:rsidRDefault="005C74A9" w:rsidP="003F4934">
            <w:pPr>
              <w:pStyle w:val="Akapitzlist"/>
              <w:numPr>
                <w:ilvl w:val="0"/>
                <w:numId w:val="0"/>
              </w:numPr>
              <w:spacing w:after="120"/>
              <w:contextualSpacing w:val="0"/>
              <w:jc w:val="both"/>
              <w:rPr>
                <w:rFonts w:ascii="Times New Roman" w:hAnsi="Times New Roman" w:cs="Times New Roman"/>
                <w:sz w:val="24"/>
                <w:szCs w:val="24"/>
              </w:rPr>
            </w:pPr>
            <w:r w:rsidRPr="003221DE">
              <w:rPr>
                <w:rFonts w:ascii="Times New Roman" w:hAnsi="Times New Roman" w:cs="Times New Roman"/>
                <w:sz w:val="24"/>
                <w:szCs w:val="24"/>
              </w:rPr>
              <w:t>W zakresie lit. c</w:t>
            </w:r>
            <w:r w:rsidR="002801DD" w:rsidRPr="003221DE">
              <w:rPr>
                <w:rFonts w:ascii="Times New Roman" w:hAnsi="Times New Roman" w:cs="Times New Roman"/>
                <w:sz w:val="24"/>
                <w:szCs w:val="24"/>
              </w:rPr>
              <w:t xml:space="preserve"> </w:t>
            </w:r>
            <w:r w:rsidR="00DC79FE" w:rsidRPr="003221DE">
              <w:rPr>
                <w:rFonts w:ascii="Times New Roman" w:hAnsi="Times New Roman" w:cs="Times New Roman"/>
                <w:sz w:val="24"/>
                <w:szCs w:val="24"/>
              </w:rPr>
              <w:t>oraz</w:t>
            </w:r>
            <w:r w:rsidR="002801DD" w:rsidRPr="003221DE">
              <w:rPr>
                <w:rFonts w:ascii="Times New Roman" w:hAnsi="Times New Roman" w:cs="Times New Roman"/>
                <w:sz w:val="24"/>
                <w:szCs w:val="24"/>
              </w:rPr>
              <w:t xml:space="preserve"> d – </w:t>
            </w:r>
            <w:r w:rsidR="009566B4" w:rsidRPr="003221DE">
              <w:rPr>
                <w:rFonts w:ascii="Times New Roman" w:hAnsi="Times New Roman" w:cs="Times New Roman"/>
                <w:sz w:val="24"/>
                <w:szCs w:val="24"/>
              </w:rPr>
              <w:t xml:space="preserve">proponowane </w:t>
            </w:r>
            <w:r w:rsidR="002801DD" w:rsidRPr="003221DE">
              <w:rPr>
                <w:rFonts w:ascii="Times New Roman" w:hAnsi="Times New Roman" w:cs="Times New Roman"/>
                <w:sz w:val="24"/>
                <w:szCs w:val="24"/>
              </w:rPr>
              <w:t>sformułowanie, że rejestr jest „w całości dostępny dla każdego” nie stanowi prawidłowego sposobu redagowania normy prawnej w akcie prawnym</w:t>
            </w:r>
            <w:r w:rsidR="005B026B" w:rsidRPr="003221DE">
              <w:rPr>
                <w:rFonts w:ascii="Times New Roman" w:hAnsi="Times New Roman" w:cs="Times New Roman"/>
                <w:sz w:val="24"/>
                <w:szCs w:val="24"/>
              </w:rPr>
              <w:t>. Nie jest zrozumiały zakaz stosowania słowa „jawny” w odniesieniu do</w:t>
            </w:r>
            <w:r w:rsidR="00DE1E2D" w:rsidRPr="003221DE">
              <w:rPr>
                <w:rFonts w:ascii="Times New Roman" w:hAnsi="Times New Roman" w:cs="Times New Roman"/>
                <w:sz w:val="24"/>
                <w:szCs w:val="24"/>
              </w:rPr>
              <w:t> </w:t>
            </w:r>
            <w:r w:rsidR="00E9758E" w:rsidRPr="003221DE">
              <w:rPr>
                <w:rFonts w:ascii="Times New Roman" w:hAnsi="Times New Roman" w:cs="Times New Roman"/>
                <w:sz w:val="24"/>
                <w:szCs w:val="24"/>
              </w:rPr>
              <w:t>rejestrów</w:t>
            </w:r>
            <w:r w:rsidR="00A66567" w:rsidRPr="003221DE">
              <w:rPr>
                <w:rFonts w:ascii="Times New Roman" w:hAnsi="Times New Roman" w:cs="Times New Roman"/>
                <w:sz w:val="24"/>
                <w:szCs w:val="24"/>
              </w:rPr>
              <w:t xml:space="preserve">, gdyż zgodnie ze słownikiem języka polskiego </w:t>
            </w:r>
            <w:r w:rsidR="00153CFB" w:rsidRPr="003221DE">
              <w:rPr>
                <w:rFonts w:ascii="Times New Roman" w:hAnsi="Times New Roman" w:cs="Times New Roman"/>
                <w:sz w:val="24"/>
                <w:szCs w:val="24"/>
              </w:rPr>
              <w:t xml:space="preserve">słowo to oznacza „dokonywany lub odbywający się w sposób dla wszystkich widoczny, wiadomy”, zaś § 8 ust. 1 ZTP wskazuję, że w aktach prawnych </w:t>
            </w:r>
            <w:r w:rsidR="000A2F5E" w:rsidRPr="003221DE">
              <w:rPr>
                <w:rFonts w:ascii="Times New Roman" w:hAnsi="Times New Roman" w:cs="Times New Roman"/>
                <w:sz w:val="24"/>
                <w:szCs w:val="24"/>
              </w:rPr>
              <w:t>„należy posługiwać się poprawnymi wyrażeniami językowymi (określeniami) w ich podstawowym i</w:t>
            </w:r>
            <w:r w:rsidR="00DE1E2D" w:rsidRPr="003221DE">
              <w:rPr>
                <w:rFonts w:ascii="Times New Roman" w:hAnsi="Times New Roman" w:cs="Times New Roman"/>
                <w:sz w:val="24"/>
                <w:szCs w:val="24"/>
              </w:rPr>
              <w:t> </w:t>
            </w:r>
            <w:r w:rsidR="000A2F5E" w:rsidRPr="003221DE">
              <w:rPr>
                <w:rFonts w:ascii="Times New Roman" w:hAnsi="Times New Roman" w:cs="Times New Roman"/>
                <w:sz w:val="24"/>
                <w:szCs w:val="24"/>
              </w:rPr>
              <w:t xml:space="preserve">powszechnie przyjętym znaczeniu”. </w:t>
            </w:r>
          </w:p>
        </w:tc>
        <w:tc>
          <w:tcPr>
            <w:tcW w:w="1186" w:type="pct"/>
            <w:shd w:val="clear" w:color="auto" w:fill="auto"/>
          </w:tcPr>
          <w:p w14:paraId="1C5E4DCD" w14:textId="398EEDDF" w:rsidR="00C8023E" w:rsidRPr="003221DE" w:rsidRDefault="00011BCA" w:rsidP="00AA1ADE">
            <w:pPr>
              <w:jc w:val="center"/>
            </w:pPr>
            <w:r w:rsidRPr="003221DE">
              <w:t>Przeredagowanie rekomendacji.</w:t>
            </w:r>
          </w:p>
        </w:tc>
        <w:tc>
          <w:tcPr>
            <w:tcW w:w="484" w:type="pct"/>
          </w:tcPr>
          <w:p w14:paraId="68DB7069" w14:textId="77777777" w:rsidR="00C8023E" w:rsidRPr="003221DE" w:rsidRDefault="00C8023E" w:rsidP="00AA1ADE">
            <w:pPr>
              <w:jc w:val="center"/>
            </w:pPr>
          </w:p>
        </w:tc>
      </w:tr>
      <w:tr w:rsidR="0092219C" w:rsidRPr="003221DE" w14:paraId="1F445176" w14:textId="77777777" w:rsidTr="00F97C50">
        <w:trPr>
          <w:trHeight w:val="4392"/>
        </w:trPr>
        <w:tc>
          <w:tcPr>
            <w:tcW w:w="158" w:type="pct"/>
            <w:shd w:val="clear" w:color="auto" w:fill="auto"/>
          </w:tcPr>
          <w:p w14:paraId="69E1F87E" w14:textId="6E0B6C63" w:rsidR="0092219C" w:rsidRPr="003221DE" w:rsidRDefault="00F97C50" w:rsidP="00AA1ADE">
            <w:pPr>
              <w:spacing w:before="120" w:after="120"/>
              <w:jc w:val="center"/>
              <w:rPr>
                <w:b/>
              </w:rPr>
            </w:pPr>
            <w:r w:rsidRPr="003221DE">
              <w:rPr>
                <w:b/>
              </w:rPr>
              <w:lastRenderedPageBreak/>
              <w:t>6</w:t>
            </w:r>
          </w:p>
        </w:tc>
        <w:tc>
          <w:tcPr>
            <w:tcW w:w="440" w:type="pct"/>
            <w:shd w:val="clear" w:color="auto" w:fill="auto"/>
          </w:tcPr>
          <w:p w14:paraId="1D06E526" w14:textId="4B615EDB" w:rsidR="0092219C" w:rsidRPr="003221DE" w:rsidRDefault="0092219C" w:rsidP="00AA1ADE">
            <w:pPr>
              <w:spacing w:before="60" w:after="60"/>
              <w:jc w:val="center"/>
              <w:rPr>
                <w:b/>
              </w:rPr>
            </w:pPr>
            <w:r w:rsidRPr="003221DE">
              <w:rPr>
                <w:b/>
              </w:rPr>
              <w:t>RCL</w:t>
            </w:r>
          </w:p>
        </w:tc>
        <w:tc>
          <w:tcPr>
            <w:tcW w:w="812" w:type="pct"/>
            <w:shd w:val="clear" w:color="auto" w:fill="auto"/>
          </w:tcPr>
          <w:p w14:paraId="2C91A172" w14:textId="5695A1C6" w:rsidR="0092219C" w:rsidRPr="003221DE" w:rsidRDefault="0092219C" w:rsidP="00A7160E">
            <w:pPr>
              <w:pStyle w:val="Nagwek2"/>
              <w:ind w:left="0"/>
              <w:rPr>
                <w:rFonts w:ascii="Times New Roman" w:hAnsi="Times New Roman" w:cs="Times New Roman"/>
                <w:sz w:val="24"/>
                <w:szCs w:val="24"/>
              </w:rPr>
            </w:pPr>
            <w:r w:rsidRPr="003221DE">
              <w:rPr>
                <w:rFonts w:ascii="Times New Roman" w:hAnsi="Times New Roman" w:cs="Times New Roman"/>
                <w:sz w:val="24"/>
                <w:szCs w:val="24"/>
              </w:rPr>
              <w:t>Rekomendacja nr 18 - Identyfikatory</w:t>
            </w:r>
          </w:p>
        </w:tc>
        <w:tc>
          <w:tcPr>
            <w:tcW w:w="1919" w:type="pct"/>
            <w:shd w:val="clear" w:color="auto" w:fill="auto"/>
          </w:tcPr>
          <w:p w14:paraId="51C8D5EB" w14:textId="0B65EB24" w:rsidR="008F1469" w:rsidRPr="003221DE" w:rsidRDefault="008F1469" w:rsidP="00B909EF">
            <w:pPr>
              <w:pStyle w:val="Akapitzlist"/>
              <w:numPr>
                <w:ilvl w:val="0"/>
                <w:numId w:val="0"/>
              </w:numPr>
              <w:spacing w:after="120"/>
              <w:contextualSpacing w:val="0"/>
              <w:jc w:val="both"/>
              <w:rPr>
                <w:rFonts w:ascii="Times New Roman" w:hAnsi="Times New Roman" w:cs="Times New Roman"/>
                <w:sz w:val="24"/>
                <w:szCs w:val="24"/>
              </w:rPr>
            </w:pPr>
            <w:r w:rsidRPr="003221DE">
              <w:rPr>
                <w:rFonts w:ascii="Times New Roman" w:hAnsi="Times New Roman" w:cs="Times New Roman"/>
                <w:sz w:val="24"/>
                <w:szCs w:val="24"/>
              </w:rPr>
              <w:t xml:space="preserve">Rekomendacja nie jest prawidłowa </w:t>
            </w:r>
            <w:r w:rsidR="00EF2C17" w:rsidRPr="003221DE">
              <w:rPr>
                <w:rFonts w:ascii="Times New Roman" w:hAnsi="Times New Roman" w:cs="Times New Roman"/>
                <w:sz w:val="24"/>
                <w:szCs w:val="24"/>
              </w:rPr>
              <w:t>w tym zakresie w jakim rekomenduje wprowadzenie trybu do nadawania numeru PESEL</w:t>
            </w:r>
            <w:r w:rsidR="00550D98" w:rsidRPr="003221DE">
              <w:rPr>
                <w:rFonts w:ascii="Times New Roman" w:hAnsi="Times New Roman" w:cs="Times New Roman"/>
                <w:sz w:val="24"/>
                <w:szCs w:val="24"/>
              </w:rPr>
              <w:t xml:space="preserve"> w ustawach, które ustanawiają dany rejestr, a nie w ustawie właściwej tj. ustawie o</w:t>
            </w:r>
            <w:r w:rsidRPr="003221DE">
              <w:rPr>
                <w:rFonts w:ascii="Times New Roman" w:hAnsi="Times New Roman" w:cs="Times New Roman"/>
                <w:sz w:val="24"/>
                <w:szCs w:val="24"/>
              </w:rPr>
              <w:t xml:space="preserve"> ewid</w:t>
            </w:r>
            <w:r w:rsidR="006F34AA" w:rsidRPr="003221DE">
              <w:rPr>
                <w:rFonts w:ascii="Times New Roman" w:hAnsi="Times New Roman" w:cs="Times New Roman"/>
                <w:sz w:val="24"/>
                <w:szCs w:val="24"/>
              </w:rPr>
              <w:t>encji ludności</w:t>
            </w:r>
            <w:r w:rsidR="00550D98" w:rsidRPr="003221DE">
              <w:rPr>
                <w:rFonts w:ascii="Times New Roman" w:hAnsi="Times New Roman" w:cs="Times New Roman"/>
                <w:sz w:val="24"/>
                <w:szCs w:val="24"/>
              </w:rPr>
              <w:t xml:space="preserve">. </w:t>
            </w:r>
            <w:r w:rsidR="00DE1E2D" w:rsidRPr="003221DE">
              <w:rPr>
                <w:rFonts w:ascii="Times New Roman" w:hAnsi="Times New Roman" w:cs="Times New Roman"/>
                <w:sz w:val="24"/>
                <w:szCs w:val="24"/>
              </w:rPr>
              <w:t xml:space="preserve">To ustawa o ewidencji ludności jest ustawą podstawową </w:t>
            </w:r>
            <w:r w:rsidR="00715BCA" w:rsidRPr="003221DE">
              <w:rPr>
                <w:rFonts w:ascii="Times New Roman" w:hAnsi="Times New Roman" w:cs="Times New Roman"/>
                <w:sz w:val="24"/>
                <w:szCs w:val="24"/>
              </w:rPr>
              <w:t xml:space="preserve">dla </w:t>
            </w:r>
            <w:r w:rsidR="006F34AA" w:rsidRPr="003221DE">
              <w:rPr>
                <w:rFonts w:ascii="Times New Roman" w:hAnsi="Times New Roman" w:cs="Times New Roman"/>
                <w:sz w:val="24"/>
                <w:szCs w:val="24"/>
              </w:rPr>
              <w:t>regulacj</w:t>
            </w:r>
            <w:r w:rsidR="00715BCA" w:rsidRPr="003221DE">
              <w:rPr>
                <w:rFonts w:ascii="Times New Roman" w:hAnsi="Times New Roman" w:cs="Times New Roman"/>
                <w:sz w:val="24"/>
                <w:szCs w:val="24"/>
              </w:rPr>
              <w:t>i</w:t>
            </w:r>
            <w:r w:rsidR="006F34AA" w:rsidRPr="003221DE">
              <w:rPr>
                <w:rFonts w:ascii="Times New Roman" w:hAnsi="Times New Roman" w:cs="Times New Roman"/>
                <w:sz w:val="24"/>
                <w:szCs w:val="24"/>
              </w:rPr>
              <w:t xml:space="preserve"> dotycząc</w:t>
            </w:r>
            <w:r w:rsidR="00715BCA" w:rsidRPr="003221DE">
              <w:rPr>
                <w:rFonts w:ascii="Times New Roman" w:hAnsi="Times New Roman" w:cs="Times New Roman"/>
                <w:sz w:val="24"/>
                <w:szCs w:val="24"/>
              </w:rPr>
              <w:t>ych</w:t>
            </w:r>
            <w:r w:rsidR="006F34AA" w:rsidRPr="003221DE">
              <w:rPr>
                <w:rFonts w:ascii="Times New Roman" w:hAnsi="Times New Roman" w:cs="Times New Roman"/>
                <w:sz w:val="24"/>
                <w:szCs w:val="24"/>
              </w:rPr>
              <w:t xml:space="preserve"> nadawania numeru PESEL. Nie należy ich wprowadzać</w:t>
            </w:r>
            <w:r w:rsidR="00715BCA" w:rsidRPr="003221DE">
              <w:rPr>
                <w:rFonts w:ascii="Times New Roman" w:hAnsi="Times New Roman" w:cs="Times New Roman"/>
                <w:sz w:val="24"/>
                <w:szCs w:val="24"/>
              </w:rPr>
              <w:t xml:space="preserve"> i modyfikować</w:t>
            </w:r>
            <w:r w:rsidR="006F34AA" w:rsidRPr="003221DE">
              <w:rPr>
                <w:rFonts w:ascii="Times New Roman" w:hAnsi="Times New Roman" w:cs="Times New Roman"/>
                <w:sz w:val="24"/>
                <w:szCs w:val="24"/>
              </w:rPr>
              <w:t xml:space="preserve"> w innych ustawach. </w:t>
            </w:r>
          </w:p>
          <w:p w14:paraId="69EB668E" w14:textId="22FDAB17" w:rsidR="0092219C" w:rsidRPr="003221DE" w:rsidRDefault="006F34AA" w:rsidP="006F6E8A">
            <w:pPr>
              <w:pStyle w:val="Akapitzlist"/>
              <w:numPr>
                <w:ilvl w:val="0"/>
                <w:numId w:val="0"/>
              </w:numPr>
              <w:spacing w:after="120"/>
              <w:contextualSpacing w:val="0"/>
              <w:jc w:val="both"/>
              <w:rPr>
                <w:rFonts w:ascii="Times New Roman" w:hAnsi="Times New Roman" w:cs="Times New Roman"/>
                <w:sz w:val="24"/>
                <w:szCs w:val="24"/>
              </w:rPr>
            </w:pPr>
            <w:r w:rsidRPr="003221DE">
              <w:rPr>
                <w:rFonts w:ascii="Times New Roman" w:hAnsi="Times New Roman" w:cs="Times New Roman"/>
                <w:sz w:val="24"/>
                <w:szCs w:val="24"/>
              </w:rPr>
              <w:t>Powołany przepis art. 7 ust. 2 u</w:t>
            </w:r>
            <w:r w:rsidR="008F1469" w:rsidRPr="003221DE">
              <w:rPr>
                <w:rFonts w:ascii="Times New Roman" w:hAnsi="Times New Roman" w:cs="Times New Roman"/>
                <w:sz w:val="24"/>
                <w:szCs w:val="24"/>
              </w:rPr>
              <w:t>staw</w:t>
            </w:r>
            <w:r w:rsidR="00550D98" w:rsidRPr="003221DE">
              <w:rPr>
                <w:rFonts w:ascii="Times New Roman" w:hAnsi="Times New Roman" w:cs="Times New Roman"/>
                <w:sz w:val="24"/>
                <w:szCs w:val="24"/>
              </w:rPr>
              <w:t>y</w:t>
            </w:r>
            <w:r w:rsidR="008F1469" w:rsidRPr="003221DE">
              <w:rPr>
                <w:rFonts w:ascii="Times New Roman" w:hAnsi="Times New Roman" w:cs="Times New Roman"/>
                <w:sz w:val="24"/>
                <w:szCs w:val="24"/>
              </w:rPr>
              <w:t xml:space="preserve"> o ewidencji ludności odnosi się do obowiązku </w:t>
            </w:r>
            <w:r w:rsidR="008F1469" w:rsidRPr="003221DE">
              <w:rPr>
                <w:rFonts w:ascii="Times New Roman" w:hAnsi="Times New Roman" w:cs="Times New Roman"/>
                <w:sz w:val="24"/>
                <w:szCs w:val="24"/>
                <w:u w:val="single"/>
              </w:rPr>
              <w:t>posiadania</w:t>
            </w:r>
            <w:r w:rsidR="008F1469" w:rsidRPr="003221DE">
              <w:rPr>
                <w:rFonts w:ascii="Times New Roman" w:hAnsi="Times New Roman" w:cs="Times New Roman"/>
                <w:sz w:val="24"/>
                <w:szCs w:val="24"/>
              </w:rPr>
              <w:t xml:space="preserve"> numeru PESEL, który wynika z odrębnych przepisów</w:t>
            </w:r>
            <w:r w:rsidR="00111B29" w:rsidRPr="003221DE">
              <w:rPr>
                <w:rFonts w:ascii="Times New Roman" w:hAnsi="Times New Roman" w:cs="Times New Roman"/>
                <w:sz w:val="24"/>
                <w:szCs w:val="24"/>
              </w:rPr>
              <w:t>, a nie</w:t>
            </w:r>
            <w:r w:rsidR="00715BCA" w:rsidRPr="003221DE">
              <w:rPr>
                <w:rFonts w:ascii="Times New Roman" w:hAnsi="Times New Roman" w:cs="Times New Roman"/>
                <w:sz w:val="24"/>
                <w:szCs w:val="24"/>
              </w:rPr>
              <w:t xml:space="preserve"> umożliwia</w:t>
            </w:r>
            <w:r w:rsidR="00111B29" w:rsidRPr="003221DE">
              <w:rPr>
                <w:rFonts w:ascii="Times New Roman" w:hAnsi="Times New Roman" w:cs="Times New Roman"/>
                <w:sz w:val="24"/>
                <w:szCs w:val="24"/>
              </w:rPr>
              <w:t xml:space="preserve"> </w:t>
            </w:r>
            <w:r w:rsidR="00715BCA" w:rsidRPr="003221DE">
              <w:rPr>
                <w:rFonts w:ascii="Times New Roman" w:hAnsi="Times New Roman" w:cs="Times New Roman"/>
                <w:sz w:val="24"/>
                <w:szCs w:val="24"/>
              </w:rPr>
              <w:t>u</w:t>
            </w:r>
            <w:r w:rsidR="00111B29" w:rsidRPr="003221DE">
              <w:rPr>
                <w:rFonts w:ascii="Times New Roman" w:hAnsi="Times New Roman" w:cs="Times New Roman"/>
                <w:sz w:val="24"/>
                <w:szCs w:val="24"/>
              </w:rPr>
              <w:t xml:space="preserve">regulowania nadawania numeru PESEL na podstawie odrębnych przepisów. </w:t>
            </w:r>
          </w:p>
        </w:tc>
        <w:tc>
          <w:tcPr>
            <w:tcW w:w="1186" w:type="pct"/>
            <w:shd w:val="clear" w:color="auto" w:fill="auto"/>
          </w:tcPr>
          <w:p w14:paraId="06CA551E" w14:textId="2AA1C64D" w:rsidR="0092219C" w:rsidRPr="003221DE" w:rsidRDefault="009B08AF" w:rsidP="00AA1ADE">
            <w:pPr>
              <w:jc w:val="center"/>
            </w:pPr>
            <w:r w:rsidRPr="003221DE">
              <w:t xml:space="preserve">Skorygowanie </w:t>
            </w:r>
            <w:r w:rsidR="00111B29" w:rsidRPr="003221DE">
              <w:t xml:space="preserve">rekomendacji. </w:t>
            </w:r>
          </w:p>
        </w:tc>
        <w:tc>
          <w:tcPr>
            <w:tcW w:w="484" w:type="pct"/>
          </w:tcPr>
          <w:p w14:paraId="1B301939" w14:textId="77777777" w:rsidR="0092219C" w:rsidRPr="003221DE" w:rsidRDefault="0092219C" w:rsidP="00AA1ADE">
            <w:pPr>
              <w:jc w:val="center"/>
            </w:pPr>
          </w:p>
        </w:tc>
      </w:tr>
      <w:tr w:rsidR="00C520D6" w:rsidRPr="003221DE" w14:paraId="374CABB0" w14:textId="77777777" w:rsidTr="00011BCA">
        <w:trPr>
          <w:trHeight w:val="1550"/>
        </w:trPr>
        <w:tc>
          <w:tcPr>
            <w:tcW w:w="158" w:type="pct"/>
            <w:shd w:val="clear" w:color="auto" w:fill="auto"/>
          </w:tcPr>
          <w:p w14:paraId="66BC2AA6" w14:textId="7C15CD6B" w:rsidR="00C520D6" w:rsidRPr="003221DE" w:rsidRDefault="00F97C50" w:rsidP="00AA1ADE">
            <w:pPr>
              <w:spacing w:before="120" w:after="120"/>
              <w:jc w:val="center"/>
              <w:rPr>
                <w:b/>
              </w:rPr>
            </w:pPr>
            <w:r w:rsidRPr="003221DE">
              <w:rPr>
                <w:b/>
              </w:rPr>
              <w:t>7</w:t>
            </w:r>
          </w:p>
        </w:tc>
        <w:tc>
          <w:tcPr>
            <w:tcW w:w="440" w:type="pct"/>
            <w:shd w:val="clear" w:color="auto" w:fill="auto"/>
          </w:tcPr>
          <w:p w14:paraId="5BBD1F35" w14:textId="6C6D8403" w:rsidR="00C520D6" w:rsidRPr="003221DE" w:rsidRDefault="00C520D6" w:rsidP="00AA1ADE">
            <w:pPr>
              <w:spacing w:before="60" w:after="60"/>
              <w:jc w:val="center"/>
              <w:rPr>
                <w:b/>
              </w:rPr>
            </w:pPr>
            <w:r w:rsidRPr="003221DE">
              <w:rPr>
                <w:b/>
              </w:rPr>
              <w:t>RCL</w:t>
            </w:r>
          </w:p>
        </w:tc>
        <w:tc>
          <w:tcPr>
            <w:tcW w:w="812" w:type="pct"/>
            <w:shd w:val="clear" w:color="auto" w:fill="auto"/>
          </w:tcPr>
          <w:p w14:paraId="01632C98" w14:textId="59F4ECE2" w:rsidR="00C520D6" w:rsidRPr="003221DE" w:rsidRDefault="00E519D6" w:rsidP="00A7160E">
            <w:pPr>
              <w:pStyle w:val="Nagwek2"/>
              <w:ind w:left="0"/>
              <w:rPr>
                <w:rFonts w:ascii="Times New Roman" w:hAnsi="Times New Roman" w:cs="Times New Roman"/>
                <w:sz w:val="24"/>
                <w:szCs w:val="24"/>
              </w:rPr>
            </w:pPr>
            <w:r w:rsidRPr="003221DE">
              <w:rPr>
                <w:rFonts w:ascii="Times New Roman" w:hAnsi="Times New Roman" w:cs="Times New Roman"/>
                <w:sz w:val="24"/>
                <w:szCs w:val="24"/>
              </w:rPr>
              <w:t>Lista definicji i skrótów</w:t>
            </w:r>
          </w:p>
        </w:tc>
        <w:tc>
          <w:tcPr>
            <w:tcW w:w="1919" w:type="pct"/>
            <w:shd w:val="clear" w:color="auto" w:fill="auto"/>
          </w:tcPr>
          <w:p w14:paraId="3B26BDA5" w14:textId="34CF9A5A" w:rsidR="003A69DE" w:rsidRPr="003221DE" w:rsidRDefault="003A69DE" w:rsidP="003A69DE">
            <w:pPr>
              <w:pStyle w:val="Akapitzlist"/>
              <w:numPr>
                <w:ilvl w:val="0"/>
                <w:numId w:val="0"/>
              </w:numPr>
              <w:spacing w:after="120"/>
              <w:jc w:val="both"/>
              <w:rPr>
                <w:rFonts w:ascii="Times New Roman" w:hAnsi="Times New Roman" w:cs="Times New Roman"/>
                <w:sz w:val="24"/>
                <w:szCs w:val="24"/>
              </w:rPr>
            </w:pPr>
            <w:r w:rsidRPr="003221DE">
              <w:rPr>
                <w:rFonts w:ascii="Times New Roman" w:hAnsi="Times New Roman" w:cs="Times New Roman"/>
                <w:sz w:val="24"/>
                <w:szCs w:val="24"/>
              </w:rPr>
              <w:t xml:space="preserve">W zakresie listy definicji i skrótów: </w:t>
            </w:r>
          </w:p>
          <w:p w14:paraId="7DEBFCA6" w14:textId="5B222240" w:rsidR="00EB197F" w:rsidRPr="003221DE" w:rsidRDefault="00C9151E" w:rsidP="006F6E8A">
            <w:pPr>
              <w:pStyle w:val="Akapitzlist"/>
              <w:numPr>
                <w:ilvl w:val="0"/>
                <w:numId w:val="9"/>
              </w:numPr>
              <w:spacing w:after="120"/>
              <w:jc w:val="both"/>
              <w:rPr>
                <w:rFonts w:ascii="Times New Roman" w:hAnsi="Times New Roman" w:cs="Times New Roman"/>
                <w:sz w:val="24"/>
                <w:szCs w:val="24"/>
              </w:rPr>
            </w:pPr>
            <w:r w:rsidRPr="003221DE">
              <w:rPr>
                <w:rFonts w:ascii="Times New Roman" w:hAnsi="Times New Roman" w:cs="Times New Roman"/>
                <w:sz w:val="24"/>
                <w:szCs w:val="24"/>
              </w:rPr>
              <w:t>definicj</w:t>
            </w:r>
            <w:r w:rsidR="00604FF3" w:rsidRPr="003221DE">
              <w:rPr>
                <w:rFonts w:ascii="Times New Roman" w:hAnsi="Times New Roman" w:cs="Times New Roman"/>
                <w:sz w:val="24"/>
                <w:szCs w:val="24"/>
              </w:rPr>
              <w:t>a</w:t>
            </w:r>
            <w:r w:rsidRPr="003221DE">
              <w:rPr>
                <w:rFonts w:ascii="Times New Roman" w:hAnsi="Times New Roman" w:cs="Times New Roman"/>
                <w:sz w:val="24"/>
                <w:szCs w:val="24"/>
              </w:rPr>
              <w:t xml:space="preserve"> e-usługi nie odwołuje się do pojęć i</w:t>
            </w:r>
            <w:r w:rsidR="00715BCA" w:rsidRPr="003221DE">
              <w:rPr>
                <w:rFonts w:ascii="Times New Roman" w:hAnsi="Times New Roman" w:cs="Times New Roman"/>
                <w:sz w:val="24"/>
                <w:szCs w:val="24"/>
              </w:rPr>
              <w:t> </w:t>
            </w:r>
            <w:r w:rsidRPr="003221DE">
              <w:rPr>
                <w:rFonts w:ascii="Times New Roman" w:hAnsi="Times New Roman" w:cs="Times New Roman"/>
                <w:sz w:val="24"/>
                <w:szCs w:val="24"/>
              </w:rPr>
              <w:t>obowiązującej ustawy o świadczeniu usług drogą elektroniczną, co wymaga uzupełnienia;</w:t>
            </w:r>
          </w:p>
          <w:p w14:paraId="62544284" w14:textId="211C992E" w:rsidR="00111B29" w:rsidRPr="003221DE" w:rsidRDefault="00111B29" w:rsidP="006F6E8A">
            <w:pPr>
              <w:pStyle w:val="Akapitzlist"/>
              <w:numPr>
                <w:ilvl w:val="0"/>
                <w:numId w:val="9"/>
              </w:numPr>
              <w:spacing w:after="120"/>
              <w:jc w:val="both"/>
              <w:rPr>
                <w:rFonts w:ascii="Times New Roman" w:hAnsi="Times New Roman" w:cs="Times New Roman"/>
                <w:sz w:val="24"/>
                <w:szCs w:val="24"/>
              </w:rPr>
            </w:pPr>
            <w:r w:rsidRPr="003221DE">
              <w:rPr>
                <w:rFonts w:ascii="Times New Roman" w:hAnsi="Times New Roman" w:cs="Times New Roman"/>
                <w:sz w:val="24"/>
                <w:szCs w:val="24"/>
              </w:rPr>
              <w:t>definicj</w:t>
            </w:r>
            <w:r w:rsidR="00604FF3" w:rsidRPr="003221DE">
              <w:rPr>
                <w:rFonts w:ascii="Times New Roman" w:hAnsi="Times New Roman" w:cs="Times New Roman"/>
                <w:sz w:val="24"/>
                <w:szCs w:val="24"/>
              </w:rPr>
              <w:t>a</w:t>
            </w:r>
            <w:r w:rsidRPr="003221DE">
              <w:rPr>
                <w:rFonts w:ascii="Times New Roman" w:hAnsi="Times New Roman" w:cs="Times New Roman"/>
                <w:sz w:val="24"/>
                <w:szCs w:val="24"/>
              </w:rPr>
              <w:t xml:space="preserve"> </w:t>
            </w:r>
            <w:r w:rsidR="00477DEF" w:rsidRPr="003221DE">
              <w:rPr>
                <w:rFonts w:ascii="Times New Roman" w:hAnsi="Times New Roman" w:cs="Times New Roman"/>
                <w:sz w:val="24"/>
                <w:szCs w:val="24"/>
              </w:rPr>
              <w:t xml:space="preserve">podmiotu publicznego </w:t>
            </w:r>
            <w:r w:rsidR="00604FF3" w:rsidRPr="003221DE">
              <w:rPr>
                <w:rFonts w:ascii="Times New Roman" w:hAnsi="Times New Roman" w:cs="Times New Roman"/>
                <w:sz w:val="24"/>
                <w:szCs w:val="24"/>
              </w:rPr>
              <w:t>i</w:t>
            </w:r>
            <w:r w:rsidR="00477DEF" w:rsidRPr="003221DE">
              <w:rPr>
                <w:rFonts w:ascii="Times New Roman" w:hAnsi="Times New Roman" w:cs="Times New Roman"/>
                <w:sz w:val="24"/>
                <w:szCs w:val="24"/>
              </w:rPr>
              <w:t xml:space="preserve"> podmiotu realizującego zadanie publiczne –</w:t>
            </w:r>
            <w:r w:rsidR="006F6E8A" w:rsidRPr="003221DE">
              <w:rPr>
                <w:rFonts w:ascii="Times New Roman" w:hAnsi="Times New Roman" w:cs="Times New Roman"/>
                <w:sz w:val="24"/>
                <w:szCs w:val="24"/>
              </w:rPr>
              <w:t xml:space="preserve"> </w:t>
            </w:r>
            <w:r w:rsidR="00477DEF" w:rsidRPr="003221DE">
              <w:rPr>
                <w:rFonts w:ascii="Times New Roman" w:hAnsi="Times New Roman" w:cs="Times New Roman"/>
                <w:sz w:val="24"/>
                <w:szCs w:val="24"/>
              </w:rPr>
              <w:t>definicje te nie są kompletne</w:t>
            </w:r>
            <w:r w:rsidR="00F9288E" w:rsidRPr="003221DE">
              <w:rPr>
                <w:rFonts w:ascii="Times New Roman" w:hAnsi="Times New Roman" w:cs="Times New Roman"/>
                <w:sz w:val="24"/>
                <w:szCs w:val="24"/>
              </w:rPr>
              <w:t xml:space="preserve">, gdyż </w:t>
            </w:r>
            <w:r w:rsidR="00BF10FE" w:rsidRPr="003221DE">
              <w:rPr>
                <w:rFonts w:ascii="Times New Roman" w:hAnsi="Times New Roman" w:cs="Times New Roman"/>
                <w:sz w:val="24"/>
                <w:szCs w:val="24"/>
              </w:rPr>
              <w:t>wymagają jeszcze weryfikacji</w:t>
            </w:r>
            <w:r w:rsidR="000278CA" w:rsidRPr="003221DE">
              <w:rPr>
                <w:rFonts w:ascii="Times New Roman" w:hAnsi="Times New Roman" w:cs="Times New Roman"/>
                <w:sz w:val="24"/>
                <w:szCs w:val="24"/>
              </w:rPr>
              <w:t xml:space="preserve"> pod kątem</w:t>
            </w:r>
            <w:r w:rsidR="00604FF3" w:rsidRPr="003221DE">
              <w:rPr>
                <w:rFonts w:ascii="Times New Roman" w:hAnsi="Times New Roman" w:cs="Times New Roman"/>
                <w:sz w:val="24"/>
                <w:szCs w:val="24"/>
              </w:rPr>
              <w:t>:</w:t>
            </w:r>
            <w:r w:rsidR="000278CA" w:rsidRPr="003221DE">
              <w:rPr>
                <w:rFonts w:ascii="Times New Roman" w:hAnsi="Times New Roman" w:cs="Times New Roman"/>
                <w:sz w:val="24"/>
                <w:szCs w:val="24"/>
              </w:rPr>
              <w:t xml:space="preserve"> zasadności wyłączenie w tym przypadku podmiotów, o których mowa w art. 9 pkt 14 ustawy o finansach publicznych</w:t>
            </w:r>
            <w:r w:rsidR="003642B3" w:rsidRPr="003221DE">
              <w:rPr>
                <w:rFonts w:ascii="Times New Roman" w:hAnsi="Times New Roman" w:cs="Times New Roman"/>
                <w:sz w:val="24"/>
                <w:szCs w:val="24"/>
              </w:rPr>
              <w:t>,</w:t>
            </w:r>
            <w:r w:rsidR="000278CA" w:rsidRPr="003221DE">
              <w:rPr>
                <w:rFonts w:ascii="Times New Roman" w:hAnsi="Times New Roman" w:cs="Times New Roman"/>
                <w:sz w:val="24"/>
                <w:szCs w:val="24"/>
              </w:rPr>
              <w:t xml:space="preserve"> czyli „przedsiębiorstw, instytutów badawczych, instytutów działających w ramach Sieci Badawczej Łukasiewicz, banków oraz spółek prawa handlowego;</w:t>
            </w:r>
            <w:r w:rsidR="00684085" w:rsidRPr="003221DE">
              <w:rPr>
                <w:rFonts w:ascii="Times New Roman" w:hAnsi="Times New Roman" w:cs="Times New Roman"/>
                <w:sz w:val="24"/>
                <w:szCs w:val="24"/>
              </w:rPr>
              <w:t>” weryfikacji w zakresie listy państwowych osób prawnych wskazanych w art. 3 ustawy o zasadach zarządzania mieniem państwowym</w:t>
            </w:r>
            <w:r w:rsidR="007C45C4" w:rsidRPr="003221DE">
              <w:rPr>
                <w:rFonts w:ascii="Times New Roman" w:hAnsi="Times New Roman" w:cs="Times New Roman"/>
                <w:sz w:val="24"/>
                <w:szCs w:val="24"/>
              </w:rPr>
              <w:t xml:space="preserve">, sprawdzenia czy rzeczywiście zasadne jest użycie </w:t>
            </w:r>
            <w:r w:rsidR="00DF4081" w:rsidRPr="003221DE">
              <w:rPr>
                <w:rFonts w:ascii="Times New Roman" w:hAnsi="Times New Roman" w:cs="Times New Roman"/>
                <w:sz w:val="24"/>
                <w:szCs w:val="24"/>
              </w:rPr>
              <w:t>sformułowania</w:t>
            </w:r>
            <w:r w:rsidR="007C45C4" w:rsidRPr="003221DE">
              <w:rPr>
                <w:rFonts w:ascii="Times New Roman" w:hAnsi="Times New Roman" w:cs="Times New Roman"/>
                <w:sz w:val="24"/>
                <w:szCs w:val="24"/>
              </w:rPr>
              <w:t xml:space="preserve">, że chodzi o podmioty „utworzone w szczególnym celu zaspokajania potrzeb o charakterze </w:t>
            </w:r>
            <w:r w:rsidR="007C45C4" w:rsidRPr="003221DE">
              <w:rPr>
                <w:rFonts w:ascii="Times New Roman" w:hAnsi="Times New Roman" w:cs="Times New Roman"/>
                <w:sz w:val="24"/>
                <w:szCs w:val="24"/>
              </w:rPr>
              <w:lastRenderedPageBreak/>
              <w:t>powszechnym, niemające charakteru przemysłowego ani handlowego,</w:t>
            </w:r>
            <w:r w:rsidR="00DF4081" w:rsidRPr="003221DE">
              <w:rPr>
                <w:rFonts w:ascii="Times New Roman" w:hAnsi="Times New Roman" w:cs="Times New Roman"/>
                <w:sz w:val="24"/>
                <w:szCs w:val="24"/>
              </w:rPr>
              <w:t>”</w:t>
            </w:r>
            <w:r w:rsidR="00604FF3" w:rsidRPr="003221DE">
              <w:rPr>
                <w:rFonts w:ascii="Times New Roman" w:hAnsi="Times New Roman" w:cs="Times New Roman"/>
                <w:sz w:val="24"/>
                <w:szCs w:val="24"/>
              </w:rPr>
              <w:t>;</w:t>
            </w:r>
          </w:p>
          <w:p w14:paraId="7D4312D8" w14:textId="579B950F" w:rsidR="00DF4081" w:rsidRPr="003221DE" w:rsidRDefault="00DF4081" w:rsidP="006F6E8A">
            <w:pPr>
              <w:pStyle w:val="Akapitzlist"/>
              <w:numPr>
                <w:ilvl w:val="0"/>
                <w:numId w:val="9"/>
              </w:numPr>
              <w:spacing w:after="120"/>
              <w:jc w:val="both"/>
              <w:rPr>
                <w:rFonts w:ascii="Times New Roman" w:hAnsi="Times New Roman" w:cs="Times New Roman"/>
                <w:sz w:val="24"/>
                <w:szCs w:val="24"/>
              </w:rPr>
            </w:pPr>
            <w:r w:rsidRPr="003221DE">
              <w:rPr>
                <w:rFonts w:ascii="Times New Roman" w:hAnsi="Times New Roman" w:cs="Times New Roman"/>
                <w:sz w:val="24"/>
                <w:szCs w:val="24"/>
              </w:rPr>
              <w:t>definicj</w:t>
            </w:r>
            <w:r w:rsidR="00604FF3" w:rsidRPr="003221DE">
              <w:rPr>
                <w:rFonts w:ascii="Times New Roman" w:hAnsi="Times New Roman" w:cs="Times New Roman"/>
                <w:sz w:val="24"/>
                <w:szCs w:val="24"/>
              </w:rPr>
              <w:t>a</w:t>
            </w:r>
            <w:r w:rsidRPr="003221DE">
              <w:rPr>
                <w:rFonts w:ascii="Times New Roman" w:hAnsi="Times New Roman" w:cs="Times New Roman"/>
                <w:sz w:val="24"/>
                <w:szCs w:val="24"/>
              </w:rPr>
              <w:t xml:space="preserve"> rejestru </w:t>
            </w:r>
            <w:r w:rsidR="00604FF3" w:rsidRPr="003221DE">
              <w:rPr>
                <w:rFonts w:ascii="Times New Roman" w:hAnsi="Times New Roman" w:cs="Times New Roman"/>
                <w:sz w:val="24"/>
                <w:szCs w:val="24"/>
              </w:rPr>
              <w:t xml:space="preserve">- </w:t>
            </w:r>
            <w:r w:rsidRPr="003221DE">
              <w:rPr>
                <w:rFonts w:ascii="Times New Roman" w:hAnsi="Times New Roman" w:cs="Times New Roman"/>
                <w:sz w:val="24"/>
                <w:szCs w:val="24"/>
              </w:rPr>
              <w:t>należy</w:t>
            </w:r>
            <w:r w:rsidR="00604FF3" w:rsidRPr="003221DE">
              <w:rPr>
                <w:rFonts w:ascii="Times New Roman" w:hAnsi="Times New Roman" w:cs="Times New Roman"/>
                <w:sz w:val="24"/>
                <w:szCs w:val="24"/>
              </w:rPr>
              <w:t xml:space="preserve"> </w:t>
            </w:r>
            <w:r w:rsidRPr="003221DE">
              <w:rPr>
                <w:rFonts w:ascii="Times New Roman" w:hAnsi="Times New Roman" w:cs="Times New Roman"/>
                <w:sz w:val="24"/>
                <w:szCs w:val="24"/>
              </w:rPr>
              <w:t>wskazać, że podstawą utworzenia rejestru jest zawsze ustawa, stąd należy usunąć informację o przepisach wykonawczych z definicji (tak samo jak z pierwszej części</w:t>
            </w:r>
            <w:r w:rsidR="003965C9" w:rsidRPr="003221DE">
              <w:rPr>
                <w:rFonts w:ascii="Times New Roman" w:hAnsi="Times New Roman" w:cs="Times New Roman"/>
                <w:sz w:val="24"/>
                <w:szCs w:val="24"/>
              </w:rPr>
              <w:t xml:space="preserve"> rekomendacji</w:t>
            </w:r>
            <w:r w:rsidRPr="003221DE">
              <w:rPr>
                <w:rFonts w:ascii="Times New Roman" w:hAnsi="Times New Roman" w:cs="Times New Roman"/>
                <w:sz w:val="24"/>
                <w:szCs w:val="24"/>
              </w:rPr>
              <w:t>)</w:t>
            </w:r>
            <w:r w:rsidR="00604FF3" w:rsidRPr="003221DE">
              <w:rPr>
                <w:rFonts w:ascii="Times New Roman" w:hAnsi="Times New Roman" w:cs="Times New Roman"/>
                <w:sz w:val="24"/>
                <w:szCs w:val="24"/>
              </w:rPr>
              <w:t>;</w:t>
            </w:r>
          </w:p>
          <w:p w14:paraId="029FDF33" w14:textId="191FDF57" w:rsidR="00DF4081" w:rsidRPr="003221DE" w:rsidRDefault="001C7159" w:rsidP="006F6E8A">
            <w:pPr>
              <w:pStyle w:val="Akapitzlist"/>
              <w:numPr>
                <w:ilvl w:val="0"/>
                <w:numId w:val="9"/>
              </w:numPr>
              <w:spacing w:after="120"/>
              <w:jc w:val="both"/>
              <w:rPr>
                <w:rFonts w:ascii="Times New Roman" w:hAnsi="Times New Roman" w:cs="Times New Roman"/>
                <w:sz w:val="24"/>
                <w:szCs w:val="24"/>
              </w:rPr>
            </w:pPr>
            <w:r w:rsidRPr="003221DE">
              <w:rPr>
                <w:rFonts w:ascii="Times New Roman" w:hAnsi="Times New Roman" w:cs="Times New Roman"/>
                <w:sz w:val="24"/>
                <w:szCs w:val="24"/>
              </w:rPr>
              <w:t>definicj</w:t>
            </w:r>
            <w:r w:rsidR="00604FF3" w:rsidRPr="003221DE">
              <w:rPr>
                <w:rFonts w:ascii="Times New Roman" w:hAnsi="Times New Roman" w:cs="Times New Roman"/>
                <w:sz w:val="24"/>
                <w:szCs w:val="24"/>
              </w:rPr>
              <w:t>a</w:t>
            </w:r>
            <w:r w:rsidR="00BF17E1" w:rsidRPr="003221DE">
              <w:rPr>
                <w:rFonts w:ascii="Times New Roman" w:hAnsi="Times New Roman" w:cs="Times New Roman"/>
                <w:sz w:val="24"/>
                <w:szCs w:val="24"/>
              </w:rPr>
              <w:t xml:space="preserve"> </w:t>
            </w:r>
            <w:r w:rsidR="00CC7278" w:rsidRPr="003221DE">
              <w:rPr>
                <w:rFonts w:ascii="Times New Roman" w:hAnsi="Times New Roman" w:cs="Times New Roman"/>
                <w:sz w:val="24"/>
                <w:szCs w:val="24"/>
              </w:rPr>
              <w:t xml:space="preserve">danych referencyjnych jest niejasna. Ponadto z uwagi na treść przypisu 21 do niniejszej definicji </w:t>
            </w:r>
            <w:r w:rsidRPr="003221DE">
              <w:rPr>
                <w:rFonts w:ascii="Times New Roman" w:hAnsi="Times New Roman" w:cs="Times New Roman"/>
                <w:sz w:val="24"/>
                <w:szCs w:val="24"/>
              </w:rPr>
              <w:t xml:space="preserve">należy wskazać, że </w:t>
            </w:r>
            <w:r w:rsidR="00BF17E1" w:rsidRPr="003221DE">
              <w:rPr>
                <w:rFonts w:ascii="Times New Roman" w:hAnsi="Times New Roman" w:cs="Times New Roman"/>
                <w:sz w:val="24"/>
                <w:szCs w:val="24"/>
              </w:rPr>
              <w:t>zgodnie z § 149 ZTP „W akcie normatywnym niższym rangą niż ustawa bez upoważnienia ustawowego nie formułuje się definicji ustalających znaczenia określeń ustawowych; w szczególności w akcie wykonawczym nie formułuje się definicji, które ustalałyby znaczenia określeń zawartych w ustawie upoważniającej.”</w:t>
            </w:r>
            <w:r w:rsidR="00CC7278" w:rsidRPr="003221DE">
              <w:rPr>
                <w:rFonts w:ascii="Times New Roman" w:hAnsi="Times New Roman" w:cs="Times New Roman"/>
                <w:sz w:val="24"/>
                <w:szCs w:val="24"/>
              </w:rPr>
              <w:t>;</w:t>
            </w:r>
          </w:p>
          <w:p w14:paraId="54B26BC1" w14:textId="67EB7E9C" w:rsidR="003A69DE" w:rsidRPr="003221DE" w:rsidRDefault="00A82D02" w:rsidP="006F6E8A">
            <w:pPr>
              <w:pStyle w:val="Akapitzlist"/>
              <w:numPr>
                <w:ilvl w:val="0"/>
                <w:numId w:val="9"/>
              </w:numPr>
              <w:spacing w:after="120"/>
              <w:jc w:val="both"/>
              <w:rPr>
                <w:rFonts w:ascii="Times New Roman" w:hAnsi="Times New Roman" w:cs="Times New Roman"/>
                <w:sz w:val="24"/>
                <w:szCs w:val="24"/>
              </w:rPr>
            </w:pPr>
            <w:r w:rsidRPr="003221DE">
              <w:rPr>
                <w:rFonts w:ascii="Times New Roman" w:hAnsi="Times New Roman" w:cs="Times New Roman"/>
                <w:sz w:val="24"/>
                <w:szCs w:val="24"/>
              </w:rPr>
              <w:t>definicja zadania publicznego</w:t>
            </w:r>
            <w:r w:rsidR="00CC7278" w:rsidRPr="003221DE">
              <w:rPr>
                <w:rFonts w:ascii="Times New Roman" w:hAnsi="Times New Roman" w:cs="Times New Roman"/>
                <w:sz w:val="24"/>
                <w:szCs w:val="24"/>
              </w:rPr>
              <w:t xml:space="preserve"> wymaga korekty. O</w:t>
            </w:r>
            <w:r w:rsidRPr="003221DE">
              <w:rPr>
                <w:rFonts w:ascii="Times New Roman" w:hAnsi="Times New Roman" w:cs="Times New Roman"/>
                <w:sz w:val="24"/>
                <w:szCs w:val="24"/>
              </w:rPr>
              <w:t>dnosi się do</w:t>
            </w:r>
            <w:r w:rsidR="0033350C" w:rsidRPr="003221DE">
              <w:rPr>
                <w:rFonts w:ascii="Times New Roman" w:hAnsi="Times New Roman" w:cs="Times New Roman"/>
                <w:sz w:val="24"/>
                <w:szCs w:val="24"/>
              </w:rPr>
              <w:t xml:space="preserve"> takiego zadania, które jest</w:t>
            </w:r>
            <w:r w:rsidRPr="003221DE">
              <w:rPr>
                <w:rFonts w:ascii="Times New Roman" w:hAnsi="Times New Roman" w:cs="Times New Roman"/>
                <w:sz w:val="24"/>
                <w:szCs w:val="24"/>
              </w:rPr>
              <w:t xml:space="preserve"> „</w:t>
            </w:r>
            <w:r w:rsidRPr="003221DE">
              <w:rPr>
                <w:rFonts w:ascii="Times New Roman" w:hAnsi="Times New Roman" w:cs="Times New Roman"/>
                <w:i/>
                <w:iCs/>
                <w:sz w:val="24"/>
                <w:szCs w:val="24"/>
              </w:rPr>
              <w:t xml:space="preserve">nakładane na podmioty publiczne, na podstawie ustaw, </w:t>
            </w:r>
            <w:r w:rsidRPr="003221DE">
              <w:rPr>
                <w:rFonts w:ascii="Times New Roman" w:hAnsi="Times New Roman" w:cs="Times New Roman"/>
                <w:i/>
                <w:iCs/>
                <w:sz w:val="24"/>
                <w:szCs w:val="24"/>
                <w:u w:val="single"/>
              </w:rPr>
              <w:t>przez Prezesa Rady Ministrów albo właściwego ministra</w:t>
            </w:r>
            <w:r w:rsidRPr="003221DE">
              <w:rPr>
                <w:rFonts w:ascii="Times New Roman" w:hAnsi="Times New Roman" w:cs="Times New Roman"/>
                <w:i/>
                <w:iCs/>
                <w:sz w:val="24"/>
                <w:szCs w:val="24"/>
              </w:rPr>
              <w:t>”</w:t>
            </w:r>
            <w:r w:rsidR="00CC7278" w:rsidRPr="003221DE">
              <w:rPr>
                <w:rFonts w:ascii="Times New Roman" w:hAnsi="Times New Roman" w:cs="Times New Roman"/>
                <w:i/>
                <w:iCs/>
                <w:sz w:val="24"/>
                <w:szCs w:val="24"/>
              </w:rPr>
              <w:t xml:space="preserve">. </w:t>
            </w:r>
            <w:r w:rsidR="0033350C" w:rsidRPr="003221DE">
              <w:rPr>
                <w:rFonts w:ascii="Times New Roman" w:hAnsi="Times New Roman" w:cs="Times New Roman"/>
                <w:sz w:val="24"/>
                <w:szCs w:val="24"/>
              </w:rPr>
              <w:t>Publiczny charakter zadania wynika z istnienia organu władzy publicznej, który powinien takie zadanie zrealizować, co wynika z przepisu ustawy. Wskazanie, że takie zadanie może być nakładane przez PRM lub ministra jest zawężeniem tego pojęcia</w:t>
            </w:r>
            <w:r w:rsidR="003965C9" w:rsidRPr="003221DE">
              <w:rPr>
                <w:rFonts w:ascii="Times New Roman" w:hAnsi="Times New Roman" w:cs="Times New Roman"/>
                <w:sz w:val="24"/>
                <w:szCs w:val="24"/>
              </w:rPr>
              <w:t>, bo inne organy także mogą nakładać zadania</w:t>
            </w:r>
            <w:r w:rsidR="006022B5" w:rsidRPr="003221DE">
              <w:rPr>
                <w:rFonts w:ascii="Times New Roman" w:hAnsi="Times New Roman" w:cs="Times New Roman"/>
                <w:sz w:val="24"/>
                <w:szCs w:val="24"/>
              </w:rPr>
              <w:t xml:space="preserve">. Publiczny charakter zadania wynika z normy prawa, która zobowiązuje władze publiczną do jego realizacji. </w:t>
            </w:r>
          </w:p>
        </w:tc>
        <w:tc>
          <w:tcPr>
            <w:tcW w:w="1186" w:type="pct"/>
            <w:shd w:val="clear" w:color="auto" w:fill="auto"/>
          </w:tcPr>
          <w:p w14:paraId="5BDCAF38" w14:textId="18968A3F" w:rsidR="00C520D6" w:rsidRPr="003221DE" w:rsidRDefault="009B08AF" w:rsidP="00AA1ADE">
            <w:pPr>
              <w:jc w:val="center"/>
            </w:pPr>
            <w:r w:rsidRPr="003221DE">
              <w:lastRenderedPageBreak/>
              <w:t xml:space="preserve">Powtórna analiza przedstawionych definicji i skrótów. </w:t>
            </w:r>
          </w:p>
        </w:tc>
        <w:tc>
          <w:tcPr>
            <w:tcW w:w="484" w:type="pct"/>
          </w:tcPr>
          <w:p w14:paraId="3C3AD00F" w14:textId="77777777" w:rsidR="00C520D6" w:rsidRPr="003221DE" w:rsidRDefault="00C520D6" w:rsidP="00AA1ADE">
            <w:pPr>
              <w:jc w:val="center"/>
            </w:pPr>
          </w:p>
        </w:tc>
      </w:tr>
    </w:tbl>
    <w:p w14:paraId="7412B078" w14:textId="77777777" w:rsidR="005F1D22" w:rsidRPr="003221DE" w:rsidRDefault="005F1D22" w:rsidP="00473020">
      <w:pPr>
        <w:jc w:val="center"/>
      </w:pPr>
    </w:p>
    <w:sectPr w:rsidR="005F1D22" w:rsidRPr="003221DE" w:rsidSect="00A06425">
      <w:footerReference w:type="default" r:id="rId8"/>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58B46A" w14:textId="77777777" w:rsidR="00D83CFD" w:rsidRDefault="00D83CFD" w:rsidP="00F605F9">
      <w:r>
        <w:separator/>
      </w:r>
    </w:p>
  </w:endnote>
  <w:endnote w:type="continuationSeparator" w:id="0">
    <w:p w14:paraId="082917E6" w14:textId="77777777" w:rsidR="00D83CFD" w:rsidRDefault="00D83CFD" w:rsidP="00F60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2839781"/>
      <w:docPartObj>
        <w:docPartGallery w:val="Page Numbers (Bottom of Page)"/>
        <w:docPartUnique/>
      </w:docPartObj>
    </w:sdtPr>
    <w:sdtEndPr/>
    <w:sdtContent>
      <w:p w14:paraId="1736F414" w14:textId="20D3F7AF" w:rsidR="009B0DB8" w:rsidRDefault="009B0DB8">
        <w:pPr>
          <w:pStyle w:val="Stopka"/>
          <w:jc w:val="center"/>
        </w:pPr>
        <w:r>
          <w:fldChar w:fldCharType="begin"/>
        </w:r>
        <w:r>
          <w:instrText>PAGE   \* MERGEFORMAT</w:instrText>
        </w:r>
        <w:r>
          <w:fldChar w:fldCharType="separate"/>
        </w:r>
        <w:r>
          <w:t>2</w:t>
        </w:r>
        <w:r>
          <w:fldChar w:fldCharType="end"/>
        </w:r>
      </w:p>
    </w:sdtContent>
  </w:sdt>
  <w:p w14:paraId="3F30FA71" w14:textId="77777777" w:rsidR="009B0DB8" w:rsidRDefault="009B0D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C57ADC" w14:textId="77777777" w:rsidR="00D83CFD" w:rsidRDefault="00D83CFD" w:rsidP="00F605F9">
      <w:r>
        <w:separator/>
      </w:r>
    </w:p>
  </w:footnote>
  <w:footnote w:type="continuationSeparator" w:id="0">
    <w:p w14:paraId="18DE1EA1" w14:textId="77777777" w:rsidR="00D83CFD" w:rsidRDefault="00D83CFD" w:rsidP="00F605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67127"/>
    <w:multiLevelType w:val="hybridMultilevel"/>
    <w:tmpl w:val="7B90B8D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51B2732"/>
    <w:multiLevelType w:val="hybridMultilevel"/>
    <w:tmpl w:val="E1344C8A"/>
    <w:lvl w:ilvl="0" w:tplc="A2C4D04A">
      <w:start w:val="1"/>
      <w:numFmt w:val="decimal"/>
      <w:pStyle w:val="Akapitzlist"/>
      <w:lvlText w:val="%1."/>
      <w:lvlJc w:val="left"/>
      <w:pPr>
        <w:ind w:left="720" w:hanging="360"/>
      </w:pPr>
      <w:rPr>
        <w:rFonts w:ascii="Calibri" w:hAnsi="Calibri"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3057A66"/>
    <w:multiLevelType w:val="hybridMultilevel"/>
    <w:tmpl w:val="E57A2CCC"/>
    <w:lvl w:ilvl="0" w:tplc="0415001B">
      <w:start w:val="1"/>
      <w:numFmt w:val="lowerRoman"/>
      <w:lvlText w:val="%1."/>
      <w:lvlJc w:val="right"/>
      <w:pPr>
        <w:ind w:left="2160" w:hanging="180"/>
      </w:p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3" w15:restartNumberingAfterBreak="0">
    <w:nsid w:val="38FC4943"/>
    <w:multiLevelType w:val="hybridMultilevel"/>
    <w:tmpl w:val="B86218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8540D2B"/>
    <w:multiLevelType w:val="hybridMultilevel"/>
    <w:tmpl w:val="AA3C6A7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0B56542"/>
    <w:multiLevelType w:val="hybridMultilevel"/>
    <w:tmpl w:val="021C6562"/>
    <w:lvl w:ilvl="0" w:tplc="04150011">
      <w:start w:val="1"/>
      <w:numFmt w:val="decimal"/>
      <w:lvlText w:val="%1)"/>
      <w:lvlJc w:val="left"/>
      <w:pPr>
        <w:ind w:left="502"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6" w15:restartNumberingAfterBreak="0">
    <w:nsid w:val="6A016CFA"/>
    <w:multiLevelType w:val="hybridMultilevel"/>
    <w:tmpl w:val="E52A2520"/>
    <w:lvl w:ilvl="0" w:tplc="04150011">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7" w15:restartNumberingAfterBreak="0">
    <w:nsid w:val="76625FFF"/>
    <w:multiLevelType w:val="hybridMultilevel"/>
    <w:tmpl w:val="EBD02238"/>
    <w:lvl w:ilvl="0" w:tplc="FFFFFFFF">
      <w:start w:val="1"/>
      <w:numFmt w:val="lowerLetter"/>
      <w:lvlText w:val="%1."/>
      <w:lvlJc w:val="left"/>
      <w:pPr>
        <w:ind w:left="142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D963B5D"/>
    <w:multiLevelType w:val="hybridMultilevel"/>
    <w:tmpl w:val="532E62B4"/>
    <w:lvl w:ilvl="0" w:tplc="04CE8FB6">
      <w:start w:val="1"/>
      <w:numFmt w:val="decimal"/>
      <w:lvlText w:val="%1."/>
      <w:lvlJc w:val="left"/>
      <w:pPr>
        <w:ind w:left="106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
  </w:num>
  <w:num w:numId="3">
    <w:abstractNumId w:val="7"/>
  </w:num>
  <w:num w:numId="4">
    <w:abstractNumId w:val="2"/>
  </w:num>
  <w:num w:numId="5">
    <w:abstractNumId w:val="4"/>
  </w:num>
  <w:num w:numId="6">
    <w:abstractNumId w:val="3"/>
  </w:num>
  <w:num w:numId="7">
    <w:abstractNumId w:val="6"/>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06241"/>
    <w:rsid w:val="00007BC4"/>
    <w:rsid w:val="00011BCA"/>
    <w:rsid w:val="000249C2"/>
    <w:rsid w:val="000278CA"/>
    <w:rsid w:val="00034258"/>
    <w:rsid w:val="00041327"/>
    <w:rsid w:val="00041F89"/>
    <w:rsid w:val="00045BE2"/>
    <w:rsid w:val="000735FC"/>
    <w:rsid w:val="000824C5"/>
    <w:rsid w:val="000939B0"/>
    <w:rsid w:val="000A0BE0"/>
    <w:rsid w:val="000A26A7"/>
    <w:rsid w:val="000A2F5E"/>
    <w:rsid w:val="000A4A0D"/>
    <w:rsid w:val="000B52CB"/>
    <w:rsid w:val="000B75CD"/>
    <w:rsid w:val="000C1529"/>
    <w:rsid w:val="000D179E"/>
    <w:rsid w:val="000E576C"/>
    <w:rsid w:val="000E6661"/>
    <w:rsid w:val="000F7716"/>
    <w:rsid w:val="00111B29"/>
    <w:rsid w:val="00116972"/>
    <w:rsid w:val="001209ED"/>
    <w:rsid w:val="0013611C"/>
    <w:rsid w:val="00140BE8"/>
    <w:rsid w:val="00146E78"/>
    <w:rsid w:val="00153CFB"/>
    <w:rsid w:val="00174A6A"/>
    <w:rsid w:val="0019648E"/>
    <w:rsid w:val="001C22A2"/>
    <w:rsid w:val="001C22CE"/>
    <w:rsid w:val="001C455A"/>
    <w:rsid w:val="001C7159"/>
    <w:rsid w:val="001E7CA7"/>
    <w:rsid w:val="002365C4"/>
    <w:rsid w:val="0024583B"/>
    <w:rsid w:val="0026594F"/>
    <w:rsid w:val="002715B2"/>
    <w:rsid w:val="002801DD"/>
    <w:rsid w:val="002905DC"/>
    <w:rsid w:val="00292434"/>
    <w:rsid w:val="002930EA"/>
    <w:rsid w:val="002E5CD6"/>
    <w:rsid w:val="002F1DE5"/>
    <w:rsid w:val="002F43DC"/>
    <w:rsid w:val="002F573F"/>
    <w:rsid w:val="0030414E"/>
    <w:rsid w:val="003044CE"/>
    <w:rsid w:val="00306578"/>
    <w:rsid w:val="0030681F"/>
    <w:rsid w:val="003124D1"/>
    <w:rsid w:val="003221DE"/>
    <w:rsid w:val="0033350C"/>
    <w:rsid w:val="00335EC6"/>
    <w:rsid w:val="00351C5B"/>
    <w:rsid w:val="00352B25"/>
    <w:rsid w:val="003557EF"/>
    <w:rsid w:val="00360ACA"/>
    <w:rsid w:val="003642B3"/>
    <w:rsid w:val="00366E6B"/>
    <w:rsid w:val="00372F2B"/>
    <w:rsid w:val="00386EDE"/>
    <w:rsid w:val="003965C9"/>
    <w:rsid w:val="003A69DE"/>
    <w:rsid w:val="003A764C"/>
    <w:rsid w:val="003B4105"/>
    <w:rsid w:val="003D2464"/>
    <w:rsid w:val="003D662D"/>
    <w:rsid w:val="003F4934"/>
    <w:rsid w:val="00402F50"/>
    <w:rsid w:val="0040597F"/>
    <w:rsid w:val="00414948"/>
    <w:rsid w:val="00424771"/>
    <w:rsid w:val="00441192"/>
    <w:rsid w:val="00442BFF"/>
    <w:rsid w:val="004515D2"/>
    <w:rsid w:val="0045672F"/>
    <w:rsid w:val="00473020"/>
    <w:rsid w:val="00477DEF"/>
    <w:rsid w:val="004C0B4A"/>
    <w:rsid w:val="004D086F"/>
    <w:rsid w:val="004E2F47"/>
    <w:rsid w:val="00512D70"/>
    <w:rsid w:val="00527EB2"/>
    <w:rsid w:val="005418C0"/>
    <w:rsid w:val="005449E8"/>
    <w:rsid w:val="0054525E"/>
    <w:rsid w:val="005508FD"/>
    <w:rsid w:val="00550D98"/>
    <w:rsid w:val="00564D94"/>
    <w:rsid w:val="0059701F"/>
    <w:rsid w:val="005A26FC"/>
    <w:rsid w:val="005B026B"/>
    <w:rsid w:val="005B69DA"/>
    <w:rsid w:val="005C74A9"/>
    <w:rsid w:val="005F1D22"/>
    <w:rsid w:val="005F5C22"/>
    <w:rsid w:val="005F6527"/>
    <w:rsid w:val="006022B5"/>
    <w:rsid w:val="006032E9"/>
    <w:rsid w:val="0060404C"/>
    <w:rsid w:val="00604FF3"/>
    <w:rsid w:val="00605269"/>
    <w:rsid w:val="0061153F"/>
    <w:rsid w:val="00612416"/>
    <w:rsid w:val="006124B6"/>
    <w:rsid w:val="006216EC"/>
    <w:rsid w:val="006261C3"/>
    <w:rsid w:val="006564F2"/>
    <w:rsid w:val="0065686A"/>
    <w:rsid w:val="00661022"/>
    <w:rsid w:val="00661FA4"/>
    <w:rsid w:val="00665610"/>
    <w:rsid w:val="006705EC"/>
    <w:rsid w:val="0068110B"/>
    <w:rsid w:val="00684085"/>
    <w:rsid w:val="006853A3"/>
    <w:rsid w:val="00686832"/>
    <w:rsid w:val="006978CD"/>
    <w:rsid w:val="006A2C0E"/>
    <w:rsid w:val="006D2B54"/>
    <w:rsid w:val="006E16E9"/>
    <w:rsid w:val="006E1CFA"/>
    <w:rsid w:val="006E3672"/>
    <w:rsid w:val="006E4753"/>
    <w:rsid w:val="006F17BC"/>
    <w:rsid w:val="006F266B"/>
    <w:rsid w:val="006F34AA"/>
    <w:rsid w:val="006F6E8A"/>
    <w:rsid w:val="00715BCA"/>
    <w:rsid w:val="00721AF1"/>
    <w:rsid w:val="00722773"/>
    <w:rsid w:val="0072460B"/>
    <w:rsid w:val="00751986"/>
    <w:rsid w:val="007537FD"/>
    <w:rsid w:val="007766A4"/>
    <w:rsid w:val="007807A4"/>
    <w:rsid w:val="0078252C"/>
    <w:rsid w:val="00782F20"/>
    <w:rsid w:val="00784429"/>
    <w:rsid w:val="00785A0B"/>
    <w:rsid w:val="007979DC"/>
    <w:rsid w:val="007B0286"/>
    <w:rsid w:val="007C45C4"/>
    <w:rsid w:val="007F7576"/>
    <w:rsid w:val="00802695"/>
    <w:rsid w:val="00807385"/>
    <w:rsid w:val="008107DA"/>
    <w:rsid w:val="0081491D"/>
    <w:rsid w:val="0082780C"/>
    <w:rsid w:val="00833483"/>
    <w:rsid w:val="00852F75"/>
    <w:rsid w:val="00854F87"/>
    <w:rsid w:val="00855AE1"/>
    <w:rsid w:val="00865939"/>
    <w:rsid w:val="0087406F"/>
    <w:rsid w:val="008852DE"/>
    <w:rsid w:val="0089456E"/>
    <w:rsid w:val="00896F49"/>
    <w:rsid w:val="008A0501"/>
    <w:rsid w:val="008A3907"/>
    <w:rsid w:val="008A521D"/>
    <w:rsid w:val="008B3B5C"/>
    <w:rsid w:val="008B4AF0"/>
    <w:rsid w:val="008D7450"/>
    <w:rsid w:val="008E3DA4"/>
    <w:rsid w:val="008E46B8"/>
    <w:rsid w:val="008F05C6"/>
    <w:rsid w:val="008F1469"/>
    <w:rsid w:val="008F3F67"/>
    <w:rsid w:val="008F626F"/>
    <w:rsid w:val="009014C9"/>
    <w:rsid w:val="00902343"/>
    <w:rsid w:val="00903720"/>
    <w:rsid w:val="00904744"/>
    <w:rsid w:val="009059C2"/>
    <w:rsid w:val="0092219C"/>
    <w:rsid w:val="00944932"/>
    <w:rsid w:val="0095131C"/>
    <w:rsid w:val="009566B4"/>
    <w:rsid w:val="00982F06"/>
    <w:rsid w:val="00985464"/>
    <w:rsid w:val="009B08AF"/>
    <w:rsid w:val="009B0DB8"/>
    <w:rsid w:val="009E5FDB"/>
    <w:rsid w:val="00A02198"/>
    <w:rsid w:val="00A06425"/>
    <w:rsid w:val="00A25EAF"/>
    <w:rsid w:val="00A35A31"/>
    <w:rsid w:val="00A56A15"/>
    <w:rsid w:val="00A61119"/>
    <w:rsid w:val="00A64EB5"/>
    <w:rsid w:val="00A66567"/>
    <w:rsid w:val="00A66F10"/>
    <w:rsid w:val="00A710E3"/>
    <w:rsid w:val="00A7160E"/>
    <w:rsid w:val="00A82D02"/>
    <w:rsid w:val="00A8702C"/>
    <w:rsid w:val="00A878E1"/>
    <w:rsid w:val="00AA1ADE"/>
    <w:rsid w:val="00AB1A4B"/>
    <w:rsid w:val="00AC5F0F"/>
    <w:rsid w:val="00AC7796"/>
    <w:rsid w:val="00B335C6"/>
    <w:rsid w:val="00B40B57"/>
    <w:rsid w:val="00B51A89"/>
    <w:rsid w:val="00B55AF0"/>
    <w:rsid w:val="00B809BC"/>
    <w:rsid w:val="00B81733"/>
    <w:rsid w:val="00B871B6"/>
    <w:rsid w:val="00B909EF"/>
    <w:rsid w:val="00BA483C"/>
    <w:rsid w:val="00BB5D9C"/>
    <w:rsid w:val="00BB70EF"/>
    <w:rsid w:val="00BC66AF"/>
    <w:rsid w:val="00BF10FE"/>
    <w:rsid w:val="00BF17E1"/>
    <w:rsid w:val="00C031D7"/>
    <w:rsid w:val="00C11F4D"/>
    <w:rsid w:val="00C16A97"/>
    <w:rsid w:val="00C171A6"/>
    <w:rsid w:val="00C3515F"/>
    <w:rsid w:val="00C42D82"/>
    <w:rsid w:val="00C44BBE"/>
    <w:rsid w:val="00C520D6"/>
    <w:rsid w:val="00C64B1B"/>
    <w:rsid w:val="00C72011"/>
    <w:rsid w:val="00C75C12"/>
    <w:rsid w:val="00C8023E"/>
    <w:rsid w:val="00C81DD9"/>
    <w:rsid w:val="00C86501"/>
    <w:rsid w:val="00C86C7E"/>
    <w:rsid w:val="00C9151E"/>
    <w:rsid w:val="00CA27F2"/>
    <w:rsid w:val="00CC7278"/>
    <w:rsid w:val="00CD04E9"/>
    <w:rsid w:val="00CD5EB0"/>
    <w:rsid w:val="00CD6756"/>
    <w:rsid w:val="00CE0F29"/>
    <w:rsid w:val="00D30C2E"/>
    <w:rsid w:val="00D321C9"/>
    <w:rsid w:val="00D54517"/>
    <w:rsid w:val="00D54E18"/>
    <w:rsid w:val="00D56F75"/>
    <w:rsid w:val="00D57FCD"/>
    <w:rsid w:val="00D642A2"/>
    <w:rsid w:val="00D647D0"/>
    <w:rsid w:val="00D66BE4"/>
    <w:rsid w:val="00D83140"/>
    <w:rsid w:val="00D83498"/>
    <w:rsid w:val="00D83CFD"/>
    <w:rsid w:val="00D90E96"/>
    <w:rsid w:val="00D91F16"/>
    <w:rsid w:val="00DC49A3"/>
    <w:rsid w:val="00DC79FE"/>
    <w:rsid w:val="00DD2E57"/>
    <w:rsid w:val="00DD5501"/>
    <w:rsid w:val="00DE1E2D"/>
    <w:rsid w:val="00DF14E4"/>
    <w:rsid w:val="00DF335B"/>
    <w:rsid w:val="00DF4081"/>
    <w:rsid w:val="00E14C33"/>
    <w:rsid w:val="00E272CF"/>
    <w:rsid w:val="00E40D9C"/>
    <w:rsid w:val="00E519D6"/>
    <w:rsid w:val="00E52EE8"/>
    <w:rsid w:val="00E57719"/>
    <w:rsid w:val="00E640FF"/>
    <w:rsid w:val="00E81E28"/>
    <w:rsid w:val="00E841E9"/>
    <w:rsid w:val="00E9741E"/>
    <w:rsid w:val="00E9758E"/>
    <w:rsid w:val="00EB197F"/>
    <w:rsid w:val="00EB4992"/>
    <w:rsid w:val="00ED655A"/>
    <w:rsid w:val="00EF2C17"/>
    <w:rsid w:val="00EF5756"/>
    <w:rsid w:val="00F22BFB"/>
    <w:rsid w:val="00F305B8"/>
    <w:rsid w:val="00F3609D"/>
    <w:rsid w:val="00F37BEF"/>
    <w:rsid w:val="00F605F9"/>
    <w:rsid w:val="00F75ACB"/>
    <w:rsid w:val="00F76C63"/>
    <w:rsid w:val="00F87454"/>
    <w:rsid w:val="00F9288E"/>
    <w:rsid w:val="00F97C50"/>
    <w:rsid w:val="00F97DC3"/>
    <w:rsid w:val="00FA5909"/>
    <w:rsid w:val="00FB648C"/>
    <w:rsid w:val="00FD5D01"/>
    <w:rsid w:val="00FF2B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91D965"/>
  <w15:chartTrackingRefBased/>
  <w15:docId w15:val="{19072329-B84E-4335-984C-8E139A8C3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sz w:val="24"/>
      <w:szCs w:val="24"/>
    </w:rPr>
  </w:style>
  <w:style w:type="paragraph" w:styleId="Nagwek2">
    <w:name w:val="heading 2"/>
    <w:basedOn w:val="Normalny"/>
    <w:next w:val="Normalny"/>
    <w:link w:val="Nagwek2Znak"/>
    <w:autoRedefine/>
    <w:uiPriority w:val="9"/>
    <w:unhideWhenUsed/>
    <w:qFormat/>
    <w:rsid w:val="00A7160E"/>
    <w:pPr>
      <w:keepNext/>
      <w:keepLines/>
      <w:spacing w:before="120" w:after="120" w:line="259" w:lineRule="auto"/>
      <w:ind w:left="360"/>
      <w:jc w:val="both"/>
      <w:outlineLvl w:val="1"/>
    </w:pPr>
    <w:rPr>
      <w:rFonts w:asciiTheme="minorHAnsi" w:eastAsiaTheme="majorEastAsia" w:hAnsiTheme="minorHAnsi" w:cstheme="majorBidi"/>
      <w:bCs/>
      <w:sz w:val="22"/>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Tekstprzypisukocowego">
    <w:name w:val="endnote text"/>
    <w:basedOn w:val="Normalny"/>
    <w:link w:val="TekstprzypisukocowegoZnak"/>
    <w:rsid w:val="00007BC4"/>
    <w:rPr>
      <w:sz w:val="20"/>
      <w:szCs w:val="20"/>
    </w:rPr>
  </w:style>
  <w:style w:type="character" w:customStyle="1" w:styleId="TekstprzypisukocowegoZnak">
    <w:name w:val="Tekst przypisu końcowego Znak"/>
    <w:basedOn w:val="Domylnaczcionkaakapitu"/>
    <w:link w:val="Tekstprzypisukocowego"/>
    <w:rsid w:val="00007BC4"/>
  </w:style>
  <w:style w:type="character" w:styleId="Odwoanieprzypisukocowego">
    <w:name w:val="endnote reference"/>
    <w:basedOn w:val="Domylnaczcionkaakapitu"/>
    <w:rsid w:val="00007BC4"/>
    <w:rPr>
      <w:vertAlign w:val="superscript"/>
    </w:rPr>
  </w:style>
  <w:style w:type="paragraph" w:styleId="Nagwek">
    <w:name w:val="header"/>
    <w:basedOn w:val="Normalny"/>
    <w:link w:val="NagwekZnak"/>
    <w:rsid w:val="006853A3"/>
    <w:pPr>
      <w:tabs>
        <w:tab w:val="center" w:pos="4536"/>
        <w:tab w:val="right" w:pos="9072"/>
      </w:tabs>
    </w:pPr>
  </w:style>
  <w:style w:type="character" w:customStyle="1" w:styleId="NagwekZnak">
    <w:name w:val="Nagłówek Znak"/>
    <w:basedOn w:val="Domylnaczcionkaakapitu"/>
    <w:link w:val="Nagwek"/>
    <w:rsid w:val="006853A3"/>
    <w:rPr>
      <w:sz w:val="24"/>
      <w:szCs w:val="24"/>
    </w:rPr>
  </w:style>
  <w:style w:type="paragraph" w:styleId="Stopka">
    <w:name w:val="footer"/>
    <w:basedOn w:val="Normalny"/>
    <w:link w:val="StopkaZnak"/>
    <w:uiPriority w:val="99"/>
    <w:rsid w:val="006853A3"/>
    <w:pPr>
      <w:tabs>
        <w:tab w:val="center" w:pos="4536"/>
        <w:tab w:val="right" w:pos="9072"/>
      </w:tabs>
    </w:pPr>
  </w:style>
  <w:style w:type="character" w:customStyle="1" w:styleId="StopkaZnak">
    <w:name w:val="Stopka Znak"/>
    <w:basedOn w:val="Domylnaczcionkaakapitu"/>
    <w:link w:val="Stopka"/>
    <w:uiPriority w:val="99"/>
    <w:rsid w:val="006853A3"/>
    <w:rPr>
      <w:sz w:val="24"/>
      <w:szCs w:val="24"/>
    </w:rPr>
  </w:style>
  <w:style w:type="character" w:customStyle="1" w:styleId="Nagwek2Znak">
    <w:name w:val="Nagłówek 2 Znak"/>
    <w:basedOn w:val="Domylnaczcionkaakapitu"/>
    <w:link w:val="Nagwek2"/>
    <w:uiPriority w:val="9"/>
    <w:rsid w:val="00A7160E"/>
    <w:rPr>
      <w:rFonts w:asciiTheme="minorHAnsi" w:eastAsiaTheme="majorEastAsia" w:hAnsiTheme="minorHAnsi" w:cstheme="majorBidi"/>
      <w:bCs/>
      <w:sz w:val="22"/>
      <w:szCs w:val="26"/>
      <w:lang w:eastAsia="en-US"/>
    </w:rPr>
  </w:style>
  <w:style w:type="paragraph" w:styleId="Akapitzlist">
    <w:name w:val="List Paragraph"/>
    <w:basedOn w:val="Normalny"/>
    <w:uiPriority w:val="34"/>
    <w:qFormat/>
    <w:rsid w:val="008E3DA4"/>
    <w:pPr>
      <w:numPr>
        <w:numId w:val="2"/>
      </w:numPr>
      <w:spacing w:after="160" w:line="259" w:lineRule="auto"/>
      <w:contextualSpacing/>
    </w:pPr>
    <w:rPr>
      <w:rFonts w:asciiTheme="minorHAnsi" w:eastAsiaTheme="minorHAnsi" w:hAnsiTheme="minorHAnsi" w:cstheme="minorBidi"/>
      <w:sz w:val="22"/>
      <w:szCs w:val="22"/>
      <w:lang w:eastAsia="en-US"/>
    </w:rPr>
  </w:style>
  <w:style w:type="paragraph" w:styleId="Tekstkomentarza">
    <w:name w:val="annotation text"/>
    <w:basedOn w:val="Normalny"/>
    <w:link w:val="TekstkomentarzaZnak"/>
    <w:uiPriority w:val="99"/>
    <w:unhideWhenUsed/>
    <w:rsid w:val="008F1469"/>
    <w:pPr>
      <w:spacing w:after="160"/>
    </w:pPr>
    <w:rPr>
      <w:rFonts w:asciiTheme="minorHAnsi" w:eastAsiaTheme="minorHAnsi" w:hAnsiTheme="minorHAnsi" w:cstheme="minorBidi"/>
      <w:sz w:val="20"/>
      <w:szCs w:val="20"/>
      <w:lang w:eastAsia="en-US"/>
    </w:rPr>
  </w:style>
  <w:style w:type="character" w:customStyle="1" w:styleId="TekstkomentarzaZnak">
    <w:name w:val="Tekst komentarza Znak"/>
    <w:basedOn w:val="Domylnaczcionkaakapitu"/>
    <w:link w:val="Tekstkomentarza"/>
    <w:uiPriority w:val="99"/>
    <w:rsid w:val="008F1469"/>
    <w:rPr>
      <w:rFonts w:asciiTheme="minorHAnsi" w:eastAsiaTheme="minorHAnsi" w:hAnsiTheme="minorHAnsi" w:cstheme="minorBidi"/>
      <w:lang w:eastAsia="en-US"/>
    </w:rPr>
  </w:style>
  <w:style w:type="character" w:styleId="Odwoaniedokomentarza">
    <w:name w:val="annotation reference"/>
    <w:basedOn w:val="Domylnaczcionkaakapitu"/>
    <w:uiPriority w:val="99"/>
    <w:unhideWhenUsed/>
    <w:rsid w:val="008F1469"/>
    <w:rPr>
      <w:sz w:val="16"/>
      <w:szCs w:val="16"/>
    </w:rPr>
  </w:style>
  <w:style w:type="paragraph" w:styleId="Tekstprzypisudolnego">
    <w:name w:val="footnote text"/>
    <w:basedOn w:val="Normalny"/>
    <w:link w:val="TekstprzypisudolnegoZnak"/>
    <w:uiPriority w:val="99"/>
    <w:unhideWhenUsed/>
    <w:rsid w:val="008F1469"/>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8F1469"/>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8F14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550820">
      <w:bodyDiv w:val="1"/>
      <w:marLeft w:val="0"/>
      <w:marRight w:val="0"/>
      <w:marTop w:val="0"/>
      <w:marBottom w:val="0"/>
      <w:divBdr>
        <w:top w:val="none" w:sz="0" w:space="0" w:color="auto"/>
        <w:left w:val="none" w:sz="0" w:space="0" w:color="auto"/>
        <w:bottom w:val="none" w:sz="0" w:space="0" w:color="auto"/>
        <w:right w:val="none" w:sz="0" w:space="0" w:color="auto"/>
      </w:divBdr>
      <w:divsChild>
        <w:div w:id="1769692934">
          <w:marLeft w:val="0"/>
          <w:marRight w:val="0"/>
          <w:marTop w:val="0"/>
          <w:marBottom w:val="0"/>
          <w:divBdr>
            <w:top w:val="none" w:sz="0" w:space="0" w:color="auto"/>
            <w:left w:val="none" w:sz="0" w:space="0" w:color="auto"/>
            <w:bottom w:val="none" w:sz="0" w:space="0" w:color="auto"/>
            <w:right w:val="none" w:sz="0" w:space="0" w:color="auto"/>
          </w:divBdr>
        </w:div>
      </w:divsChild>
    </w:div>
    <w:div w:id="352725796">
      <w:bodyDiv w:val="1"/>
      <w:marLeft w:val="0"/>
      <w:marRight w:val="0"/>
      <w:marTop w:val="0"/>
      <w:marBottom w:val="0"/>
      <w:divBdr>
        <w:top w:val="none" w:sz="0" w:space="0" w:color="auto"/>
        <w:left w:val="none" w:sz="0" w:space="0" w:color="auto"/>
        <w:bottom w:val="none" w:sz="0" w:space="0" w:color="auto"/>
        <w:right w:val="none" w:sz="0" w:space="0" w:color="auto"/>
      </w:divBdr>
    </w:div>
    <w:div w:id="214441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D1976-4706-4405-8D9A-4081B8E91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8</Pages>
  <Words>1824</Words>
  <Characters>10949</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dc:description/>
  <cp:lastModifiedBy>Trojanowska Barbara</cp:lastModifiedBy>
  <cp:revision>20</cp:revision>
  <dcterms:created xsi:type="dcterms:W3CDTF">2023-11-08T22:05:00Z</dcterms:created>
  <dcterms:modified xsi:type="dcterms:W3CDTF">2023-11-09T13:42:00Z</dcterms:modified>
</cp:coreProperties>
</file>